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6"/>
        <w:jc w:val="center"/>
        <w:rPr>
          <w:sz w:val="22"/>
          <w:szCs w:val="22"/>
          <w14:ligatures w14:val="none"/>
        </w:rPr>
      </w:pPr>
      <w:r>
        <w:rPr>
          <w:sz w:val="22"/>
          <w:szCs w:val="22"/>
        </w:rPr>
        <w:t xml:space="preserve">ПРОТОКО</w:t>
      </w:r>
      <w:r>
        <w:rPr>
          <w:sz w:val="22"/>
          <w:szCs w:val="22"/>
        </w:rPr>
        <w:t xml:space="preserve">Л </w:t>
      </w:r>
      <w:r>
        <w:rPr>
          <w:sz w:val="22"/>
          <w:szCs w:val="22"/>
        </w:rPr>
        <w:t xml:space="preserve">№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260175</w:t>
      </w:r>
      <w:r>
        <w:rPr>
          <w:sz w:val="22"/>
          <w:szCs w:val="22"/>
        </w:rPr>
        <w:t xml:space="preserve">-</w:t>
      </w:r>
      <w:r>
        <w:rPr>
          <w:sz w:val="22"/>
          <w:szCs w:val="22"/>
        </w:rPr>
        <w:t xml:space="preserve">2</w:t>
      </w:r>
      <w:r>
        <w:rPr>
          <w:sz w:val="22"/>
          <w:szCs w:val="22"/>
          <w14:ligatures w14:val="none"/>
        </w:rPr>
      </w:r>
      <w:r>
        <w:rPr>
          <w:sz w:val="22"/>
          <w:szCs w:val="22"/>
          <w14:ligatures w14:val="none"/>
        </w:rPr>
      </w:r>
    </w:p>
    <w:p>
      <w:pPr>
        <w:pStyle w:val="1043"/>
        <w:ind w:right="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очного </w:t>
      </w:r>
      <w:r>
        <w:rPr>
          <w:sz w:val="22"/>
          <w:szCs w:val="22"/>
        </w:rPr>
        <w:t xml:space="preserve">заседания </w:t>
      </w:r>
      <w:r>
        <w:rPr>
          <w:sz w:val="22"/>
          <w:szCs w:val="22"/>
        </w:rPr>
        <w:t xml:space="preserve">Закупочной</w:t>
      </w:r>
      <w:r>
        <w:rPr>
          <w:sz w:val="22"/>
          <w:szCs w:val="22"/>
        </w:rPr>
        <w:t xml:space="preserve"> комиссии </w:t>
      </w:r>
      <w:r>
        <w:rPr>
          <w:sz w:val="22"/>
          <w:szCs w:val="22"/>
        </w:rPr>
        <w:t xml:space="preserve">по рассмотрению </w:t>
      </w:r>
      <w:r>
        <w:rPr>
          <w:sz w:val="22"/>
          <w:szCs w:val="22"/>
        </w:rPr>
        <w:t xml:space="preserve">первых частей заявок </w:t>
      </w:r>
      <w:r>
        <w:rPr>
          <w:sz w:val="22"/>
          <w:szCs w:val="22"/>
        </w:rPr>
        <w:t xml:space="preserve">участников </w:t>
      </w:r>
      <w:r>
        <w:rPr>
          <w:sz w:val="22"/>
          <w:szCs w:val="22"/>
        </w:rPr>
        <w:br w:type="textWrapping" w:clear="all"/>
      </w:r>
      <w:r>
        <w:rPr>
          <w:sz w:val="22"/>
          <w:szCs w:val="22"/>
        </w:rPr>
        <w:t xml:space="preserve">по </w:t>
      </w:r>
      <w:r>
        <w:rPr>
          <w:sz w:val="22"/>
          <w:szCs w:val="22"/>
        </w:rPr>
        <w:t xml:space="preserve">конкурсу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электронной форме </w:t>
      </w:r>
      <w:r>
        <w:rPr>
          <w:sz w:val="22"/>
          <w:szCs w:val="22"/>
        </w:rPr>
        <w:t xml:space="preserve">на электронной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rStyle w:val="1051"/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, участниками которого являются только субъекты МСП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58"/>
        <w:ind w:left="0" w:right="168" w:firstLine="0"/>
        <w:jc w:val="center"/>
        <w:spacing w:line="240" w:lineRule="auto"/>
        <w:tabs>
          <w:tab w:val="clear" w:pos="1134" w:leader="none"/>
        </w:tabs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1031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25"/>
        <w:gridCol w:w="3685"/>
        <w:gridCol w:w="5104"/>
      </w:tblGrid>
      <w:tr>
        <w:tblPrEx/>
        <w:trPr>
          <w:trHeight w:val="57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0" w:type="dxa"/>
            <w:vAlign w:val="top"/>
            <w:textDirection w:val="lrTb"/>
            <w:noWrap w:val="false"/>
          </w:tcPr>
          <w:p>
            <w:pPr>
              <w:pStyle w:val="1043"/>
              <w:ind w:right="168"/>
              <w:jc w:val="both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Санкт-Петербург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04" w:type="dxa"/>
            <w:vAlign w:val="top"/>
            <w:textDirection w:val="lrTb"/>
            <w:noWrap w:val="false"/>
          </w:tcPr>
          <w:p>
            <w:pPr>
              <w:pStyle w:val="1043"/>
              <w:ind w:left="459"/>
              <w:jc w:val="both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 xml:space="preserve">Дата составления протокола: 21</w:t>
            </w:r>
            <w:r>
              <w:rPr>
                <w:sz w:val="22"/>
                <w:szCs w:val="22"/>
              </w:rPr>
              <w:t xml:space="preserve">.05</w:t>
            </w:r>
            <w:r>
              <w:rPr>
                <w:sz w:val="22"/>
                <w:szCs w:val="22"/>
              </w:rPr>
              <w:t xml:space="preserve">.2026</w:t>
            </w:r>
            <w:r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043"/>
              <w:ind w:left="459"/>
              <w:jc w:val="both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 xml:space="preserve">Дата подписания протокола: 21</w:t>
            </w:r>
            <w:r>
              <w:rPr>
                <w:sz w:val="22"/>
                <w:szCs w:val="22"/>
              </w:rPr>
              <w:t xml:space="preserve">.05</w:t>
            </w:r>
            <w:r>
              <w:rPr>
                <w:sz w:val="22"/>
                <w:szCs w:val="22"/>
              </w:rPr>
              <w:t xml:space="preserve">.20</w:t>
            </w:r>
            <w:r>
              <w:rPr>
                <w:sz w:val="22"/>
                <w:szCs w:val="22"/>
              </w:rPr>
              <w:t xml:space="preserve">26</w:t>
            </w:r>
            <w:r>
              <w:rPr>
                <w:sz w:val="22"/>
                <w:szCs w:val="22"/>
              </w:rPr>
              <w:t xml:space="preserve"> г.                                         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7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0" w:type="dxa"/>
            <w:vAlign w:val="top"/>
            <w:textDirection w:val="lrTb"/>
            <w:noWrap w:val="false"/>
          </w:tcPr>
          <w:p>
            <w:pPr>
              <w:pStyle w:val="1043"/>
              <w:ind w:right="168"/>
              <w:jc w:val="both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04" w:type="dxa"/>
            <w:vAlign w:val="top"/>
            <w:textDirection w:val="lrTb"/>
            <w:noWrap w:val="false"/>
          </w:tcPr>
          <w:p>
            <w:pPr>
              <w:pStyle w:val="1043"/>
              <w:ind w:right="168"/>
              <w:jc w:val="both"/>
              <w:spacing w:line="24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163"/>
        </w:trPr>
        <w:tc>
          <w:tcPr>
            <w:tcBorders>
              <w:bottom w:val="single" w:color="000000" w:sz="4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pStyle w:val="1045"/>
              <w:ind w:right="33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Предмет конкурса</w:t>
            </w:r>
            <w:r>
              <w:rPr>
                <w:sz w:val="22"/>
                <w:szCs w:val="22"/>
              </w:rPr>
              <w:t xml:space="preserve"> в электронной форме</w:t>
            </w:r>
            <w:r>
              <w:rPr>
                <w:sz w:val="22"/>
                <w:szCs w:val="22"/>
              </w:rPr>
              <w:t xml:space="preserve">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8789" w:type="dxa"/>
            <w:vAlign w:val="center"/>
            <w:textDirection w:val="lrTb"/>
            <w:noWrap w:val="false"/>
          </w:tcPr>
          <w:p>
            <w:pPr>
              <w:pStyle w:val="1045"/>
              <w:ind w:right="33"/>
              <w:jc w:val="both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Заключение рамочного договора на организацию стратегических сессий, конференций, рабочих и торжественных совещаний, представительских и аналогичных мероприятий, соревнований, выставок-форумов, открытия объектов и конкурсов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</w:t>
            </w:r>
            <w:r>
              <w:rPr>
                <w:sz w:val="22"/>
                <w:szCs w:val="22"/>
              </w:rPr>
              <w:t xml:space="preserve">260175</w:t>
            </w:r>
            <w:r>
              <w:rPr>
                <w:sz w:val="22"/>
                <w:szCs w:val="22"/>
              </w:rPr>
              <w:t xml:space="preserve">)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</w:tbl>
    <w:p>
      <w:pPr>
        <w:pStyle w:val="1043"/>
        <w:ind w:right="168"/>
        <w:jc w:val="both"/>
        <w:rPr>
          <w:sz w:val="28"/>
          <w:szCs w:val="28"/>
        </w:rPr>
      </w:pPr>
      <w:r>
        <w:rPr>
          <w:sz w:val="16"/>
          <w:szCs w:val="16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43"/>
        <w:numPr>
          <w:ilvl w:val="0"/>
          <w:numId w:val="1"/>
        </w:numPr>
        <w:ind w:left="0" w:right="1" w:firstLine="9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Повестка дня: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900" w:right="1" w:firstLine="0"/>
        <w:jc w:val="both"/>
        <w:rPr>
          <w:sz w:val="18"/>
          <w:szCs w:val="18"/>
        </w:rPr>
      </w:pPr>
      <w:r>
        <w:rPr>
          <w:sz w:val="22"/>
          <w:szCs w:val="22"/>
          <w:highlight w:val="none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883"/>
        <w:numPr>
          <w:ilvl w:val="0"/>
          <w:numId w:val="26"/>
        </w:numPr>
        <w:ind w:left="0" w:right="1" w:firstLine="709"/>
        <w:jc w:val="both"/>
        <w:tabs>
          <w:tab w:val="left" w:pos="1417" w:leader="none"/>
        </w:tabs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Р</w:t>
      </w:r>
      <w:r>
        <w:rPr>
          <w:sz w:val="22"/>
          <w:szCs w:val="22"/>
        </w:rPr>
        <w:t xml:space="preserve">ассмотрение </w:t>
      </w:r>
      <w:r>
        <w:rPr>
          <w:sz w:val="22"/>
          <w:szCs w:val="22"/>
        </w:rPr>
        <w:t xml:space="preserve">первых частей заявок </w:t>
      </w:r>
      <w:r>
        <w:rPr>
          <w:sz w:val="22"/>
          <w:szCs w:val="22"/>
        </w:rPr>
        <w:t xml:space="preserve">участников по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конкурсу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электронной форме </w:t>
      </w:r>
      <w:r>
        <w:rPr>
          <w:sz w:val="22"/>
          <w:szCs w:val="22"/>
        </w:rPr>
        <w:t xml:space="preserve">на электронной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rStyle w:val="1051"/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на </w:t>
      </w:r>
      <w:r>
        <w:rPr>
          <w:sz w:val="22"/>
          <w:szCs w:val="22"/>
        </w:rPr>
        <w:t xml:space="preserve">право </w:t>
      </w:r>
      <w:r>
        <w:rPr>
          <w:sz w:val="22"/>
          <w:szCs w:val="22"/>
        </w:rPr>
        <w:t xml:space="preserve">заключения </w:t>
      </w:r>
      <w:r>
        <w:rPr>
          <w:sz w:val="22"/>
          <w:szCs w:val="22"/>
        </w:rPr>
        <w:t xml:space="preserve">рамочного договора </w:t>
      </w:r>
      <w:r>
        <w:rPr>
          <w:sz w:val="22"/>
          <w:szCs w:val="22"/>
        </w:rPr>
        <w:t xml:space="preserve">на организацию стратегических сессий, конференций, рабочих и торжественных совещаний, представительских и аналогичных мероприятий, соревнований, выставок-форумов, открытия объектов и конкурсов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</w:t>
      </w:r>
      <w:r>
        <w:rPr>
          <w:sz w:val="22"/>
          <w:szCs w:val="22"/>
        </w:rPr>
        <w:t xml:space="preserve">260175</w:t>
      </w:r>
      <w:r>
        <w:rPr>
          <w:sz w:val="22"/>
          <w:szCs w:val="22"/>
        </w:rPr>
        <w:t xml:space="preserve">)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709" w:right="1" w:firstLine="0"/>
        <w:jc w:val="both"/>
        <w:tabs>
          <w:tab w:val="left" w:pos="1417" w:leader="none"/>
        </w:tabs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883"/>
        <w:numPr>
          <w:ilvl w:val="0"/>
          <w:numId w:val="26"/>
        </w:numPr>
        <w:ind w:left="0" w:right="1" w:firstLine="709"/>
        <w:jc w:val="both"/>
        <w:tabs>
          <w:tab w:val="left" w:pos="1417" w:leader="none"/>
        </w:tabs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rFonts w:ascii="Times New Roman" w:hAnsi="Times New Roman"/>
          <w:sz w:val="23"/>
          <w:szCs w:val="23"/>
        </w:rPr>
        <w:t xml:space="preserve">Продление срока рассмотрения и подведения итогов конкурса</w:t>
      </w:r>
      <w:r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</w:rPr>
        <w:t xml:space="preserve">в соответствии с </w:t>
      </w:r>
      <w:r>
        <w:rPr>
          <w:sz w:val="23"/>
          <w:szCs w:val="23"/>
        </w:rPr>
        <w:t xml:space="preserve">п. 8.1.2 д) </w:t>
      </w:r>
      <w:r>
        <w:rPr>
          <w:rFonts w:ascii="Times New Roman" w:hAnsi="Times New Roman"/>
          <w:sz w:val="23"/>
          <w:szCs w:val="23"/>
        </w:rPr>
        <w:t xml:space="preserve">Единого Стандарта закупок ПАО «Россети» (Положение о закупке)</w:t>
      </w:r>
      <w:r>
        <w:rPr>
          <w:rFonts w:ascii="Times New Roman" w:hAnsi="Times New Roman"/>
          <w:sz w:val="22"/>
          <w:szCs w:val="22"/>
          <w:highlight w:val="none"/>
        </w:rPr>
        <w:t xml:space="preserve">.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1043"/>
        <w:ind w:left="900" w:right="168"/>
        <w:jc w:val="both"/>
        <w:rPr>
          <w:sz w:val="28"/>
          <w:szCs w:val="28"/>
        </w:rPr>
      </w:pPr>
      <w:r>
        <w:rPr>
          <w:sz w:val="16"/>
          <w:szCs w:val="16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43"/>
        <w:ind w:left="900" w:right="1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 заседания комиссии: 21.05</w:t>
      </w:r>
      <w:r>
        <w:rPr>
          <w:sz w:val="22"/>
          <w:szCs w:val="22"/>
        </w:rPr>
        <w:t xml:space="preserve">.20</w:t>
      </w:r>
      <w:r>
        <w:rPr>
          <w:sz w:val="22"/>
          <w:szCs w:val="22"/>
        </w:rPr>
        <w:t xml:space="preserve">26</w:t>
      </w:r>
      <w:r>
        <w:rPr>
          <w:sz w:val="22"/>
          <w:szCs w:val="22"/>
        </w:rPr>
        <w:t xml:space="preserve"> 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43"/>
        <w:ind w:left="900" w:right="1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Кворум имеется. Комиссия правомочна.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43"/>
        <w:ind w:left="900" w:right="168"/>
        <w:jc w:val="both"/>
        <w:rPr>
          <w:sz w:val="28"/>
          <w:szCs w:val="28"/>
        </w:rPr>
      </w:pPr>
      <w:r>
        <w:rPr>
          <w:sz w:val="16"/>
          <w:szCs w:val="16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43"/>
        <w:numPr>
          <w:ilvl w:val="0"/>
          <w:numId w:val="1"/>
        </w:numPr>
        <w:ind w:right="1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Общая информация о закупке: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43"/>
        <w:ind w:left="1260" w:right="168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numPr>
          <w:ilvl w:val="0"/>
          <w:numId w:val="2"/>
        </w:numPr>
        <w:ind w:left="0" w:right="1" w:firstLine="709"/>
        <w:jc w:val="both"/>
        <w:rPr>
          <w:sz w:val="22"/>
          <w:szCs w:val="22"/>
          <w14:ligatures w14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white"/>
        </w:rPr>
        <w:t xml:space="preserve">На основании п. </w:t>
      </w:r>
      <w:r>
        <w:rPr>
          <w:sz w:val="22"/>
          <w:szCs w:val="22"/>
          <w:highlight w:val="white"/>
        </w:rPr>
        <w:t xml:space="preserve">8.1.2 д) </w:t>
      </w:r>
      <w:r>
        <w:rPr>
          <w:rFonts w:ascii="Times New Roman" w:hAnsi="Times New Roman"/>
          <w:sz w:val="22"/>
          <w:szCs w:val="22"/>
          <w:highlight w:val="white"/>
        </w:rPr>
        <w:t xml:space="preserve">Единого Стандарта закупок ПАО «Россети» (Положение о закупке)</w:t>
      </w:r>
      <w:r>
        <w:rPr>
          <w:sz w:val="22"/>
          <w:szCs w:val="22"/>
          <w:highlight w:val="white"/>
        </w:rPr>
        <w:t xml:space="preserve"> закупочная комиссия приняла решение продлить срок рассмотрения 1 частей заявок на «21» мая 2026 г.</w:t>
      </w:r>
      <w:r>
        <w:rPr>
          <w:sz w:val="22"/>
          <w:szCs w:val="22"/>
          <w14:ligatures w14:val="none"/>
        </w:rPr>
      </w:r>
      <w:r>
        <w:rPr>
          <w:sz w:val="22"/>
          <w:szCs w:val="22"/>
          <w14:ligatures w14:val="none"/>
        </w:rPr>
      </w:r>
    </w:p>
    <w:p>
      <w:pPr>
        <w:ind w:left="709" w:right="1" w:firstLine="0"/>
        <w:jc w:val="both"/>
        <w:rPr>
          <w:sz w:val="16"/>
          <w:szCs w:val="16"/>
          <w14:ligatures w14:val="none"/>
        </w:rPr>
      </w:pPr>
      <w:r>
        <w:rPr>
          <w:sz w:val="16"/>
          <w:szCs w:val="16"/>
          <w:highlight w:val="none"/>
        </w:rPr>
      </w:r>
      <w:r>
        <w:rPr>
          <w:sz w:val="16"/>
          <w:szCs w:val="16"/>
          <w14:ligatures w14:val="none"/>
        </w:rPr>
      </w:r>
      <w:r>
        <w:rPr>
          <w:sz w:val="16"/>
          <w:szCs w:val="16"/>
          <w14:ligatures w14:val="none"/>
        </w:rPr>
      </w:r>
    </w:p>
    <w:p>
      <w:pPr>
        <w:numPr>
          <w:ilvl w:val="0"/>
          <w:numId w:val="2"/>
        </w:numPr>
        <w:ind w:left="0" w:right="1" w:firstLine="709"/>
        <w:jc w:val="both"/>
        <w:rPr>
          <w:sz w:val="22"/>
          <w:szCs w:val="22"/>
          <w14:ligatures w14:val="none"/>
        </w:rPr>
      </w:pPr>
      <w:r>
        <w:rPr>
          <w:sz w:val="22"/>
          <w:szCs w:val="22"/>
        </w:rPr>
        <w:t xml:space="preserve">Основание проведения закупочной</w:t>
      </w:r>
      <w:r>
        <w:rPr>
          <w:sz w:val="22"/>
          <w:szCs w:val="22"/>
        </w:rPr>
        <w:t xml:space="preserve"> процедуры: </w:t>
      </w:r>
      <w:r>
        <w:rPr>
          <w:sz w:val="22"/>
          <w:szCs w:val="22"/>
        </w:rPr>
        <w:t xml:space="preserve">В соответствии с приказом </w:t>
        <w:br/>
        <w:t xml:space="preserve">ПАО «Россети Ленэнерго» </w:t>
      </w:r>
      <w:r>
        <w:rPr>
          <w:sz w:val="22"/>
          <w:szCs w:val="22"/>
        </w:rPr>
        <w:t xml:space="preserve">от 10.12.2025 №716 «Об утверждении Плана закупки товаров, работ, услуг </w:t>
        <w:br/>
        <w:t xml:space="preserve">ПАО «Россети Ленэнерго» на 2026 год»</w:t>
      </w:r>
      <w:r>
        <w:rPr>
          <w:sz w:val="22"/>
          <w:szCs w:val="22"/>
        </w:rPr>
        <w:t xml:space="preserve">, Единым стандартом закупок ПАО «Россети» (Положение о закупке), решение о присоединении к которому принято Советом директоров ПАО «Россети Ленэнерго» 01.02.2023 (протокол от 02.02.2023 №44, </w:t>
      </w:r>
      <w:r>
        <w:rPr>
          <w:sz w:val="22"/>
          <w:szCs w:val="22"/>
        </w:rPr>
        <w:t xml:space="preserve">в редакции протокола от 27.12.2024 №3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  <w:t xml:space="preserve">)</w:t>
      </w:r>
      <w:r>
        <w:rPr>
          <w:sz w:val="22"/>
          <w:szCs w:val="22"/>
        </w:rPr>
        <w:t xml:space="preserve">.</w:t>
      </w:r>
      <w:r>
        <w:rPr>
          <w:sz w:val="22"/>
          <w:szCs w:val="22"/>
          <w14:ligatures w14:val="none"/>
        </w:rPr>
      </w:r>
      <w:r>
        <w:rPr>
          <w:sz w:val="22"/>
          <w:szCs w:val="22"/>
          <w14:ligatures w14:val="none"/>
        </w:rPr>
      </w:r>
    </w:p>
    <w:p>
      <w:pPr>
        <w:pStyle w:val="1043"/>
        <w:ind w:left="709" w:right="1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43"/>
        <w:numPr>
          <w:ilvl w:val="0"/>
          <w:numId w:val="2"/>
        </w:numPr>
        <w:ind w:left="0" w:right="1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Извещение от </w:t>
      </w:r>
      <w:r>
        <w:rPr>
          <w:sz w:val="22"/>
          <w:szCs w:val="22"/>
        </w:rPr>
        <w:t xml:space="preserve">27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04</w:t>
      </w:r>
      <w:r>
        <w:rPr>
          <w:sz w:val="22"/>
          <w:szCs w:val="22"/>
        </w:rPr>
        <w:t xml:space="preserve">.2026</w:t>
      </w:r>
      <w:r>
        <w:rPr>
          <w:sz w:val="22"/>
          <w:szCs w:val="22"/>
        </w:rPr>
        <w:t xml:space="preserve"> г. о проведении конкурса в электронной форме, документация о закупке опубликованы </w:t>
      </w:r>
      <w:r>
        <w:rPr>
          <w:sz w:val="22"/>
          <w:szCs w:val="22"/>
        </w:rPr>
        <w:t xml:space="preserve">27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04</w:t>
      </w:r>
      <w:r>
        <w:rPr>
          <w:sz w:val="22"/>
          <w:szCs w:val="22"/>
        </w:rPr>
        <w:t xml:space="preserve">.2026</w:t>
      </w:r>
      <w:r>
        <w:rPr>
          <w:sz w:val="22"/>
          <w:szCs w:val="22"/>
        </w:rPr>
        <w:t xml:space="preserve"> г. на официальном сайте (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HYPERLINK "http://www.zakupki.gov.ru"</w:instrText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 xml:space="preserve">www.zakupki.gov.ru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), на сайте ЭТП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43"/>
        <w:ind w:left="709" w:right="1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numPr>
          <w:ilvl w:val="0"/>
          <w:numId w:val="2"/>
        </w:numPr>
        <w:ind w:left="0" w:right="1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Согласно процедуре электронных </w:t>
      </w:r>
      <w:r>
        <w:rPr>
          <w:sz w:val="22"/>
          <w:szCs w:val="22"/>
        </w:rPr>
        <w:t xml:space="preserve">торгов на электрон</w:t>
      </w:r>
      <w:r>
        <w:rPr>
          <w:sz w:val="22"/>
          <w:szCs w:val="22"/>
        </w:rPr>
        <w:t xml:space="preserve">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от </w:t>
      </w:r>
      <w:r>
        <w:rPr>
          <w:sz w:val="22"/>
          <w:szCs w:val="22"/>
        </w:rPr>
        <w:t xml:space="preserve">27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04</w:t>
      </w:r>
      <w:r>
        <w:rPr>
          <w:sz w:val="22"/>
          <w:szCs w:val="22"/>
        </w:rPr>
        <w:t xml:space="preserve">.2026</w:t>
      </w:r>
      <w:r>
        <w:rPr>
          <w:sz w:val="22"/>
          <w:szCs w:val="22"/>
        </w:rPr>
        <w:t xml:space="preserve"> г. объявление </w:t>
      </w:r>
      <w:r>
        <w:rPr>
          <w:sz w:val="22"/>
          <w:szCs w:val="22"/>
        </w:rPr>
        <w:t xml:space="preserve">№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RAD260017092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</w:t>
      </w:r>
      <w:r>
        <w:rPr>
          <w:sz w:val="22"/>
          <w:szCs w:val="22"/>
        </w:rPr>
        <w:t xml:space="preserve">н</w:t>
      </w:r>
      <w:r>
        <w:rPr>
          <w:sz w:val="22"/>
          <w:szCs w:val="22"/>
        </w:rPr>
        <w:t xml:space="preserve">о</w:t>
      </w:r>
      <w:r>
        <w:rPr>
          <w:sz w:val="22"/>
          <w:szCs w:val="22"/>
        </w:rPr>
        <w:t xml:space="preserve">мер извещения на сайте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</w:rPr>
        <w:instrText xml:space="preserve"> </w:instrText>
      </w:r>
      <w:r>
        <w:rPr>
          <w:sz w:val="22"/>
          <w:szCs w:val="22"/>
          <w:lang w:val="en-US"/>
        </w:rPr>
        <w:instrText xml:space="preserve">HYPERLINK</w:instrText>
      </w:r>
      <w:r>
        <w:rPr>
          <w:sz w:val="22"/>
          <w:szCs w:val="22"/>
        </w:rPr>
        <w:instrText xml:space="preserve"> "</w:instrText>
      </w:r>
      <w:r>
        <w:rPr>
          <w:sz w:val="22"/>
          <w:szCs w:val="22"/>
          <w:lang w:val="en-US"/>
        </w:rPr>
        <w:instrText xml:space="preserve">http</w:instrText>
      </w:r>
      <w:r>
        <w:rPr>
          <w:sz w:val="22"/>
          <w:szCs w:val="22"/>
        </w:rPr>
        <w:instrText xml:space="preserve">://</w:instrText>
      </w:r>
      <w:r>
        <w:rPr>
          <w:sz w:val="22"/>
          <w:szCs w:val="22"/>
          <w:lang w:val="en-US"/>
        </w:rPr>
        <w:instrText xml:space="preserve">www</w:instrText>
      </w:r>
      <w:r>
        <w:rPr>
          <w:sz w:val="22"/>
          <w:szCs w:val="22"/>
        </w:rPr>
        <w:instrText xml:space="preserve">.</w:instrText>
      </w:r>
      <w:r>
        <w:rPr>
          <w:sz w:val="22"/>
          <w:szCs w:val="22"/>
          <w:lang w:val="en-US"/>
        </w:rPr>
        <w:instrText xml:space="preserve">zakupki</w:instrText>
      </w:r>
      <w:r>
        <w:rPr>
          <w:sz w:val="22"/>
          <w:szCs w:val="22"/>
        </w:rPr>
        <w:instrText xml:space="preserve">.</w:instrText>
      </w:r>
      <w:r>
        <w:rPr>
          <w:sz w:val="22"/>
          <w:szCs w:val="22"/>
          <w:lang w:val="en-US"/>
        </w:rPr>
        <w:instrText xml:space="preserve">gov</w:instrText>
      </w:r>
      <w:r>
        <w:rPr>
          <w:sz w:val="22"/>
          <w:szCs w:val="22"/>
        </w:rPr>
        <w:instrText xml:space="preserve">.</w:instrText>
      </w:r>
      <w:r>
        <w:rPr>
          <w:sz w:val="22"/>
          <w:szCs w:val="22"/>
          <w:lang w:val="en-US"/>
        </w:rPr>
        <w:instrText xml:space="preserve">ru</w:instrText>
      </w:r>
      <w:r>
        <w:rPr>
          <w:sz w:val="22"/>
          <w:szCs w:val="22"/>
        </w:rPr>
        <w:instrText xml:space="preserve">/223" </w:instrText>
      </w:r>
      <w:r>
        <w:rPr>
          <w:sz w:val="22"/>
          <w:szCs w:val="22"/>
          <w:lang w:val="en-US"/>
        </w:rPr>
        <w:fldChar w:fldCharType="separate"/>
      </w:r>
      <w:r>
        <w:rPr>
          <w:rStyle w:val="1051"/>
          <w:sz w:val="22"/>
          <w:szCs w:val="22"/>
          <w:lang w:val="en-US"/>
        </w:rPr>
        <w:t xml:space="preserve">www</w:t>
      </w:r>
      <w:r>
        <w:rPr>
          <w:rStyle w:val="1051"/>
          <w:sz w:val="22"/>
          <w:szCs w:val="22"/>
        </w:rPr>
        <w:t xml:space="preserve">.</w:t>
      </w:r>
      <w:r>
        <w:rPr>
          <w:rStyle w:val="1051"/>
          <w:sz w:val="22"/>
          <w:szCs w:val="22"/>
          <w:lang w:val="en-US"/>
        </w:rPr>
        <w:t xml:space="preserve">zakupki</w:t>
      </w:r>
      <w:r>
        <w:rPr>
          <w:rStyle w:val="1051"/>
          <w:sz w:val="22"/>
          <w:szCs w:val="22"/>
        </w:rPr>
        <w:t xml:space="preserve">.</w:t>
      </w:r>
      <w:r>
        <w:rPr>
          <w:rStyle w:val="1051"/>
          <w:sz w:val="22"/>
          <w:szCs w:val="22"/>
          <w:lang w:val="en-US"/>
        </w:rPr>
        <w:t xml:space="preserve">gov</w:t>
      </w:r>
      <w:r>
        <w:rPr>
          <w:rStyle w:val="1051"/>
          <w:sz w:val="22"/>
          <w:szCs w:val="22"/>
        </w:rPr>
        <w:t xml:space="preserve">.</w:t>
      </w:r>
      <w:r>
        <w:rPr>
          <w:rStyle w:val="1051"/>
          <w:sz w:val="22"/>
          <w:szCs w:val="22"/>
          <w:lang w:val="en-US"/>
        </w:rPr>
        <w:t xml:space="preserve">ru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32615955508</w:t>
      </w:r>
      <w:r>
        <w:rPr>
          <w:sz w:val="22"/>
          <w:szCs w:val="22"/>
        </w:rPr>
        <w:t xml:space="preserve">)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</w:t>
      </w:r>
      <w:r>
        <w:rPr>
          <w:sz w:val="22"/>
          <w:szCs w:val="22"/>
        </w:rPr>
        <w:t xml:space="preserve"> к</w:t>
      </w:r>
      <w:r>
        <w:rPr>
          <w:sz w:val="22"/>
          <w:szCs w:val="22"/>
        </w:rPr>
        <w:t xml:space="preserve">ачестве участников данного конкурса зарегистрировались следующие участники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43"/>
        <w:ind w:left="709" w:right="168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10300" w:type="dxa"/>
        <w:tblInd w:w="5" w:type="dxa"/>
        <w:tblLayout w:type="fixed"/>
        <w:tblCellMar>
          <w:left w:w="100" w:type="dxa"/>
          <w:top w:w="0" w:type="dxa"/>
          <w:right w:w="100" w:type="dxa"/>
          <w:bottom w:w="0" w:type="dxa"/>
        </w:tblCellMar>
        <w:tblLook w:val="04A0" w:firstRow="1" w:lastRow="0" w:firstColumn="1" w:lastColumn="0" w:noHBand="0" w:noVBand="1"/>
      </w:tblPr>
      <w:tblGrid>
        <w:gridCol w:w="1276"/>
        <w:gridCol w:w="3780"/>
        <w:gridCol w:w="5244"/>
      </w:tblGrid>
      <w:tr>
        <w:tblPrEx/>
        <w:trPr>
          <w:cantSplit/>
          <w:trHeight w:val="4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80" w:type="dxa"/>
            <w:vAlign w:val="center"/>
            <w:textDirection w:val="lrTb"/>
            <w:noWrap w:val="false"/>
          </w:tcPr>
          <w:p>
            <w:pPr>
              <w:pStyle w:val="1043"/>
              <w:ind w:left="142" w:right="142"/>
              <w:jc w:val="center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Дата и время регистрации заявки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vAlign w:val="center"/>
            <w:textDirection w:val="lrTb"/>
            <w:noWrap w:val="false"/>
          </w:tcPr>
          <w:p>
            <w:pPr>
              <w:pStyle w:val="1043"/>
              <w:ind w:left="142" w:right="142"/>
              <w:jc w:val="center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Участник </w:t>
            </w:r>
            <w:r>
              <w:rPr>
                <w:bCs/>
                <w:sz w:val="22"/>
                <w:szCs w:val="22"/>
              </w:rPr>
              <w:t xml:space="preserve">конкурса</w:t>
            </w:r>
            <w:r>
              <w:rPr>
                <w:bCs/>
                <w:sz w:val="22"/>
                <w:szCs w:val="22"/>
              </w:rPr>
              <w:t xml:space="preserve"> в электронной форме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cantSplit/>
          <w:trHeight w:val="4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43"/>
              <w:ind w:left="106" w:right="11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80" w:type="dxa"/>
            <w:vAlign w:val="center"/>
            <w:textDirection w:val="lrTb"/>
            <w:noWrap w:val="false"/>
          </w:tcPr>
          <w:p>
            <w:pPr>
              <w:ind w:left="142" w:right="142"/>
              <w:jc w:val="center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12.05.2026 18:08:46 MCK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vAlign w:val="center"/>
            <w:textDirection w:val="lrTb"/>
            <w:noWrap w:val="false"/>
          </w:tcPr>
          <w:p>
            <w:pPr>
              <w:ind w:left="0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 </w:t>
            </w:r>
            <w:r>
              <w:rPr>
                <w:sz w:val="22"/>
                <w:szCs w:val="22"/>
              </w:rPr>
              <w:t xml:space="preserve">492911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blPrEx/>
        <w:trPr>
          <w:cantSplit/>
          <w:trHeight w:val="4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43"/>
              <w:ind w:left="106" w:right="11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80" w:type="dxa"/>
            <w:vAlign w:val="center"/>
            <w:textDirection w:val="lrTb"/>
            <w:noWrap w:val="false"/>
          </w:tcPr>
          <w:p>
            <w:pPr>
              <w:ind w:left="142" w:right="142"/>
              <w:jc w:val="center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12.05.2026 20:28:04 MCK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vAlign w:val="center"/>
            <w:textDirection w:val="lrTb"/>
            <w:noWrap w:val="false"/>
          </w:tcPr>
          <w:p>
            <w:pPr>
              <w:ind w:left="0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492940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blPrEx/>
        <w:trPr>
          <w:cantSplit/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1043"/>
              <w:ind w:left="106" w:right="11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80" w:type="dxa"/>
            <w:vAlign w:val="center"/>
            <w:textDirection w:val="lrTb"/>
            <w:noWrap w:val="false"/>
          </w:tcPr>
          <w:p>
            <w:pPr>
              <w:ind w:left="142" w:right="142"/>
              <w:jc w:val="center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13.05.2026 00:26:46 MCK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vAlign w:val="center"/>
            <w:textDirection w:val="lrTb"/>
            <w:noWrap w:val="false"/>
          </w:tcPr>
          <w:p>
            <w:pPr>
              <w:ind w:left="0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492958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pStyle w:val="1043"/>
              <w:ind w:left="106" w:right="111"/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80" w:type="dxa"/>
            <w:vAlign w:val="center"/>
            <w:vMerge w:val="restart"/>
            <w:textDirection w:val="lrTb"/>
            <w:noWrap w:val="false"/>
          </w:tcPr>
          <w:p>
            <w:pPr>
              <w:ind w:left="142" w:right="142"/>
              <w:jc w:val="center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13.05.2026 10:16:45 MCK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vAlign w:val="center"/>
            <w:vMerge w:val="restart"/>
            <w:textDirection w:val="lrTb"/>
            <w:noWrap w:val="false"/>
          </w:tcPr>
          <w:p>
            <w:pPr>
              <w:ind w:left="0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493086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</w:tbl>
    <w:p>
      <w:pPr>
        <w:ind w:left="709" w:right="1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left="709" w:right="1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43"/>
        <w:numPr>
          <w:ilvl w:val="0"/>
          <w:numId w:val="2"/>
        </w:numPr>
        <w:ind w:left="0" w:right="1" w:firstLine="709"/>
        <w:jc w:val="both"/>
        <w:rPr>
          <w:sz w:val="22"/>
          <w:szCs w:val="22"/>
        </w:rPr>
      </w:pPr>
      <w:r>
        <w:rPr>
          <w:rFonts w:eastAsia="Calibri"/>
          <w:sz w:val="22"/>
          <w:szCs w:val="22"/>
        </w:rPr>
      </w:r>
      <w:r>
        <w:rPr>
          <w:rFonts w:eastAsia="Calibri"/>
          <w:sz w:val="22"/>
          <w:szCs w:val="22"/>
        </w:rPr>
        <w:t xml:space="preserve">Начальная (максимальная) цена договора (цена закупки) - Ценовой лимит рамочного договора, руб. с НДС/без НДС</w:t>
      </w:r>
      <w:r>
        <w:rPr>
          <w:sz w:val="22"/>
          <w:szCs w:val="22"/>
        </w:rPr>
        <w:t xml:space="preserve">, Стоимость единичных расценок, </w:t>
      </w:r>
      <w:r>
        <w:rPr>
          <w:rFonts w:eastAsia="Calibri"/>
          <w:sz w:val="22"/>
          <w:szCs w:val="22"/>
        </w:rPr>
        <w:t xml:space="preserve">руб. с НДС/без НДС</w:t>
      </w:r>
      <w:r>
        <w:rPr>
          <w:sz w:val="22"/>
          <w:szCs w:val="22"/>
        </w:rPr>
        <w:t xml:space="preserve">, Срок </w:t>
      </w:r>
      <w:r>
        <w:rPr>
          <w:sz w:val="22"/>
          <w:szCs w:val="22"/>
        </w:rPr>
        <w:t xml:space="preserve">оказания услуг</w:t>
      </w:r>
      <w:r>
        <w:rPr>
          <w:sz w:val="22"/>
          <w:szCs w:val="22"/>
        </w:rPr>
        <w:t xml:space="preserve">/Срок </w:t>
      </w:r>
      <w:r>
        <w:rPr>
          <w:sz w:val="22"/>
          <w:szCs w:val="22"/>
        </w:rPr>
        <w:t xml:space="preserve">оказания услуг</w:t>
      </w:r>
      <w:r>
        <w:rPr>
          <w:sz w:val="22"/>
          <w:szCs w:val="22"/>
        </w:rPr>
        <w:t xml:space="preserve"> по заявке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43"/>
        <w:ind w:left="709" w:right="168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4896" w:type="pct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6079"/>
        <w:gridCol w:w="4127"/>
      </w:tblGrid>
      <w:tr>
        <w:tblPrEx/>
        <w:trPr>
          <w:trHeight w:val="1466"/>
        </w:trPr>
        <w:tc>
          <w:tcPr>
            <w:tcW w:w="2978" w:type="pct"/>
            <w:vAlign w:val="center"/>
            <w:textDirection w:val="lrTb"/>
            <w:noWrap w:val="false"/>
          </w:tcPr>
          <w:p>
            <w:pPr>
              <w:pStyle w:val="1043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br w:type="page" w:clear="all"/>
            </w:r>
            <w:r>
              <w:rPr>
                <w:rFonts w:eastAsia="Calibri"/>
                <w:sz w:val="22"/>
                <w:szCs w:val="22"/>
              </w:rPr>
              <w:t xml:space="preserve">Н</w:t>
            </w:r>
            <w:r>
              <w:rPr>
                <w:rFonts w:eastAsia="Calibri"/>
                <w:sz w:val="22"/>
                <w:szCs w:val="22"/>
              </w:rPr>
              <w:t xml:space="preserve">ачальная (максимальная) цена договора (цена закупки) -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 xml:space="preserve">Ценовой лимит рамочного договора, руб. с НДС/без НДС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pStyle w:val="104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16"/>
                <w:szCs w:val="16"/>
              </w:rPr>
            </w:r>
          </w:p>
          <w:p>
            <w:pPr>
              <w:pStyle w:val="10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единичных расценок, </w:t>
            </w:r>
            <w:r>
              <w:rPr>
                <w:rFonts w:eastAsia="Calibri"/>
                <w:sz w:val="22"/>
                <w:szCs w:val="22"/>
              </w:rPr>
              <w:t xml:space="preserve">руб. с НДС/без НДС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022" w:type="pct"/>
            <w:vAlign w:val="center"/>
            <w:textDirection w:val="lrTb"/>
            <w:noWrap w:val="false"/>
          </w:tcPr>
          <w:p>
            <w:pPr>
              <w:pStyle w:val="1043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Срок оказания услуг/Срок оказания услуг по заявке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trHeight w:val="1161"/>
        </w:trPr>
        <w:tc>
          <w:tcPr>
            <w:tcW w:w="297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2"/>
                <w:szCs w:val="22"/>
                <w14:ligatures w14:val="none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  <w:t xml:space="preserve">79 737</w:t>
            </w:r>
            <w:r>
              <w:rPr>
                <w:rFonts w:eastAsia="Calibri"/>
                <w:sz w:val="22"/>
                <w:szCs w:val="22"/>
              </w:rPr>
              <w:t xml:space="preserve"> 666,50</w:t>
            </w:r>
            <w:r>
              <w:rPr>
                <w:rFonts w:eastAsia="Calibri"/>
                <w:sz w:val="22"/>
                <w:szCs w:val="22"/>
              </w:rPr>
              <w:t xml:space="preserve"> рублей c НДС/</w:t>
            </w:r>
            <w:r>
              <w:rPr>
                <w:rFonts w:eastAsia="Calibri"/>
                <w:sz w:val="22"/>
                <w:szCs w:val="22"/>
              </w:rPr>
              <w:t xml:space="preserve">65 358 743,03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 xml:space="preserve">рублей без НДС.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  <w14:ligatures w14:val="none"/>
              </w:rPr>
            </w:r>
          </w:p>
          <w:p>
            <w:pPr>
              <w:jc w:val="center"/>
              <w:rPr>
                <w:rFonts w:eastAsia="Calibri"/>
                <w:sz w:val="22"/>
                <w:szCs w:val="22"/>
                <w14:ligatures w14:val="none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  <w14:ligatures w14:val="none"/>
              </w:rPr>
            </w:r>
          </w:p>
          <w:p>
            <w:pPr>
              <w:jc w:val="center"/>
              <w:rPr>
                <w:rFonts w:eastAsia="Calibri"/>
                <w:sz w:val="22"/>
                <w:szCs w:val="22"/>
                <w:highlight w:val="none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  <w:t xml:space="preserve">18 025 021,99</w:t>
            </w:r>
            <w:r>
              <w:rPr>
                <w:rFonts w:eastAsia="Calibri"/>
                <w:sz w:val="22"/>
                <w:szCs w:val="22"/>
              </w:rPr>
              <w:t xml:space="preserve"> рублей c НДС/</w:t>
            </w:r>
            <w:r>
              <w:rPr>
                <w:rFonts w:eastAsia="Calibri"/>
                <w:sz w:val="22"/>
                <w:szCs w:val="22"/>
              </w:rPr>
              <w:t xml:space="preserve">14 774 608,19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 xml:space="preserve">рублей без НДС</w:t>
            </w:r>
            <w:r>
              <w:rPr>
                <w:rFonts w:eastAsia="Calibri"/>
                <w:sz w:val="22"/>
                <w:szCs w:val="22"/>
                <w:highlight w:val="none"/>
              </w:rPr>
            </w:r>
            <w:r>
              <w:rPr>
                <w:rFonts w:eastAsia="Calibri"/>
                <w:sz w:val="22"/>
                <w:szCs w:val="22"/>
                <w:highlight w:val="none"/>
              </w:rPr>
            </w:r>
          </w:p>
        </w:tc>
        <w:tc>
          <w:tcPr>
            <w:tcW w:w="202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2"/>
                <w:szCs w:val="22"/>
                <w14:ligatures w14:val="none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  <w:t xml:space="preserve">01.07.2026</w:t>
            </w:r>
            <w:r>
              <w:rPr>
                <w:rFonts w:eastAsia="Calibri"/>
                <w:sz w:val="22"/>
                <w:szCs w:val="22"/>
              </w:rPr>
              <w:t xml:space="preserve"> - </w:t>
            </w:r>
            <w:r>
              <w:rPr>
                <w:rFonts w:eastAsia="Calibri"/>
                <w:sz w:val="22"/>
                <w:szCs w:val="22"/>
              </w:rPr>
              <w:t xml:space="preserve">31.12.2027</w:t>
            </w:r>
            <w:r>
              <w:rPr>
                <w:rFonts w:eastAsia="Calibri"/>
                <w:sz w:val="22"/>
                <w:szCs w:val="22"/>
              </w:rPr>
              <w:t xml:space="preserve"> по заявкам от Заказчика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  <w14:ligatures w14:val="none"/>
              </w:rPr>
            </w:r>
          </w:p>
        </w:tc>
      </w:tr>
    </w:tbl>
    <w:p>
      <w:pPr>
        <w:ind w:left="1134" w:right="170" w:firstLine="0"/>
        <w:jc w:val="both"/>
        <w:spacing w:after="120"/>
        <w:tabs>
          <w:tab w:val="left" w:pos="1418" w:leader="none"/>
        </w:tabs>
        <w:rPr>
          <w:sz w:val="32"/>
          <w:szCs w:val="32"/>
        </w:rPr>
      </w:pPr>
      <w:r>
        <w:rPr>
          <w:sz w:val="32"/>
          <w:szCs w:val="32"/>
          <w:highlight w:val="none"/>
        </w:rPr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1043"/>
        <w:numPr>
          <w:ilvl w:val="0"/>
          <w:numId w:val="1"/>
        </w:numPr>
        <w:ind w:left="0" w:right="170" w:firstLine="1134"/>
        <w:jc w:val="both"/>
        <w:spacing w:after="120"/>
        <w:tabs>
          <w:tab w:val="left" w:pos="1418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Закупочная</w:t>
      </w:r>
      <w:r>
        <w:rPr>
          <w:sz w:val="22"/>
          <w:szCs w:val="22"/>
        </w:rPr>
        <w:t xml:space="preserve"> комиссия рассмотрела и определила: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43"/>
        <w:ind w:right="170" w:firstLine="539"/>
        <w:jc w:val="both"/>
        <w:spacing w:line="218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43"/>
        <w:ind w:right="1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Сведения </w:t>
      </w:r>
      <w:r>
        <w:rPr>
          <w:sz w:val="22"/>
          <w:szCs w:val="22"/>
        </w:rPr>
        <w:t xml:space="preserve">первых частей заявок участников конкурса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электронной форме </w:t>
      </w:r>
      <w:r>
        <w:rPr>
          <w:sz w:val="22"/>
          <w:szCs w:val="22"/>
        </w:rPr>
        <w:t xml:space="preserve">на электронной торговой площадке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"https://tender.lot-online.ru/" </w:instrText>
      </w:r>
      <w:r>
        <w:rPr>
          <w:sz w:val="22"/>
          <w:szCs w:val="22"/>
        </w:rPr>
        <w:fldChar w:fldCharType="separate"/>
      </w:r>
      <w:r>
        <w:rPr>
          <w:rStyle w:val="1051"/>
          <w:sz w:val="22"/>
          <w:szCs w:val="22"/>
        </w:rPr>
        <w:t xml:space="preserve">https://tender.lot-online.ru/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 анализу </w:t>
      </w:r>
      <w:r>
        <w:rPr>
          <w:sz w:val="22"/>
          <w:szCs w:val="22"/>
        </w:rPr>
        <w:t xml:space="preserve">технической </w:t>
      </w:r>
      <w:r>
        <w:rPr>
          <w:sz w:val="22"/>
          <w:szCs w:val="22"/>
        </w:rPr>
        <w:t xml:space="preserve">части поступивших </w:t>
      </w:r>
      <w:r>
        <w:rPr>
          <w:sz w:val="22"/>
          <w:szCs w:val="22"/>
        </w:rPr>
        <w:t xml:space="preserve">заявок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43"/>
        <w:ind w:right="170" w:firstLine="70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43"/>
        <w:numPr>
          <w:ilvl w:val="0"/>
          <w:numId w:val="3"/>
        </w:numPr>
        <w:ind w:left="0" w:right="1" w:firstLine="709"/>
        <w:jc w:val="both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Сведения о соответствии технической части </w:t>
      </w:r>
      <w:r>
        <w:rPr>
          <w:sz w:val="22"/>
          <w:szCs w:val="22"/>
        </w:rPr>
        <w:t xml:space="preserve">заявки</w:t>
      </w:r>
      <w:r>
        <w:rPr>
          <w:sz w:val="22"/>
          <w:szCs w:val="22"/>
        </w:rPr>
        <w:t xml:space="preserve"> требованиям </w:t>
      </w:r>
      <w:r>
        <w:rPr>
          <w:sz w:val="22"/>
          <w:szCs w:val="22"/>
        </w:rPr>
        <w:t xml:space="preserve">документации о закупке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на основании </w:t>
      </w:r>
      <w:r>
        <w:rPr>
          <w:sz w:val="22"/>
          <w:szCs w:val="22"/>
        </w:rPr>
        <w:t xml:space="preserve">в</w:t>
      </w:r>
      <w:r>
        <w:rPr>
          <w:sz w:val="22"/>
          <w:szCs w:val="22"/>
        </w:rPr>
        <w:t xml:space="preserve">ыводов </w:t>
      </w:r>
      <w:r>
        <w:rPr>
          <w:sz w:val="22"/>
          <w:szCs w:val="22"/>
        </w:rPr>
        <w:t xml:space="preserve">экспертов</w:t>
      </w:r>
      <w:r>
        <w:rPr>
          <w:sz w:val="22"/>
          <w:szCs w:val="22"/>
        </w:rPr>
        <w:t xml:space="preserve"> по анализу технической части </w:t>
      </w:r>
      <w:r>
        <w:rPr>
          <w:sz w:val="22"/>
          <w:szCs w:val="22"/>
        </w:rPr>
        <w:t xml:space="preserve">заявки</w:t>
      </w:r>
      <w:r>
        <w:rPr>
          <w:sz w:val="22"/>
          <w:szCs w:val="22"/>
        </w:rPr>
        <w:t xml:space="preserve"> Участников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43"/>
        <w:jc w:val="both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20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418"/>
        <w:gridCol w:w="6379"/>
        <w:gridCol w:w="24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9"/>
          <w:tblHeader/>
        </w:trPr>
        <w:tc>
          <w:tcPr>
            <w:tcW w:w="1418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widowControl w:val="off"/>
              <w:rPr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Номер п/п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47"/>
              <w:rPr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Участник конкурса </w:t>
            </w:r>
            <w:r>
              <w:rPr>
                <w:bCs/>
                <w:sz w:val="22"/>
                <w:szCs w:val="22"/>
                <w:highlight w:val="none"/>
              </w:rPr>
              <w:t xml:space="preserve">в электронной форме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Вывод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3"/>
        </w:trPr>
        <w:tc>
          <w:tcPr>
            <w:tcW w:w="1418" w:type="dxa"/>
            <w:vAlign w:val="center"/>
            <w:textDirection w:val="lrTb"/>
            <w:noWrap w:val="false"/>
          </w:tcPr>
          <w:p>
            <w:pPr>
              <w:pStyle w:val="1043"/>
              <w:ind w:left="106" w:right="111"/>
              <w:jc w:val="center"/>
              <w:widowControl w:val="off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ind w:left="0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 </w:t>
            </w:r>
            <w:r>
              <w:rPr>
                <w:sz w:val="22"/>
                <w:szCs w:val="22"/>
              </w:rPr>
              <w:t xml:space="preserve">492911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  <w:t xml:space="preserve">Соответствует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/>
        </w:trPr>
        <w:tc>
          <w:tcPr>
            <w:tcW w:w="1418" w:type="dxa"/>
            <w:vAlign w:val="center"/>
            <w:textDirection w:val="lrTb"/>
            <w:noWrap w:val="false"/>
          </w:tcPr>
          <w:p>
            <w:pPr>
              <w:pStyle w:val="1043"/>
              <w:ind w:left="106" w:right="111"/>
              <w:jc w:val="center"/>
              <w:widowControl w:val="off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ind w:left="0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492940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  <w:t xml:space="preserve">Соответствует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9"/>
        </w:trPr>
        <w:tc>
          <w:tcPr>
            <w:tcW w:w="1418" w:type="dxa"/>
            <w:vAlign w:val="center"/>
            <w:textDirection w:val="lrTb"/>
            <w:noWrap w:val="false"/>
          </w:tcPr>
          <w:p>
            <w:pPr>
              <w:pStyle w:val="1043"/>
              <w:ind w:left="106" w:right="111"/>
              <w:jc w:val="center"/>
              <w:widowControl w:val="off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ind w:left="0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492958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bCs/>
                <w:sz w:val="22"/>
                <w:szCs w:val="22"/>
                <w:highlight w:val="none"/>
              </w:rPr>
              <w:t xml:space="preserve">Соответствует</w:t>
            </w:r>
            <w:r>
              <w:rPr>
                <w:bCs/>
                <w:sz w:val="22"/>
                <w:szCs w:val="22"/>
                <w:highlight w:val="none"/>
              </w:rPr>
            </w:r>
            <w:r/>
          </w:p>
        </w:tc>
      </w:tr>
      <w:tr>
        <w:tblPrEx/>
        <w:trPr>
          <w:trHeight w:val="409"/>
        </w:trPr>
        <w:tc>
          <w:tcPr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pStyle w:val="1043"/>
              <w:ind w:left="106" w:right="111"/>
              <w:jc w:val="center"/>
              <w:widowControl w:val="off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4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W w:w="6379" w:type="dxa"/>
            <w:vAlign w:val="center"/>
            <w:vMerge w:val="restart"/>
            <w:textDirection w:val="lrTb"/>
            <w:noWrap w:val="false"/>
          </w:tcPr>
          <w:p>
            <w:pPr>
              <w:ind w:left="0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493086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bCs/>
                <w:sz w:val="22"/>
                <w:szCs w:val="22"/>
                <w:highlight w:val="none"/>
              </w:rPr>
              <w:t xml:space="preserve">Соответствует</w:t>
            </w:r>
            <w:r>
              <w:rPr>
                <w:bCs/>
                <w:sz w:val="22"/>
                <w:szCs w:val="22"/>
                <w:highlight w:val="none"/>
              </w:rPr>
            </w:r>
            <w:r/>
          </w:p>
        </w:tc>
      </w:tr>
    </w:tbl>
    <w:p>
      <w:pPr>
        <w:jc w:val="both"/>
        <w:tabs>
          <w:tab w:val="left" w:pos="567" w:leader="none"/>
        </w:tabs>
        <w:rPr>
          <w:sz w:val="44"/>
          <w:szCs w:val="44"/>
        </w:rPr>
      </w:pPr>
      <w:r>
        <w:rPr>
          <w:sz w:val="36"/>
          <w:szCs w:val="36"/>
        </w:rPr>
      </w:r>
      <w:r>
        <w:rPr>
          <w:sz w:val="44"/>
          <w:szCs w:val="44"/>
        </w:rPr>
      </w:r>
      <w:r>
        <w:rPr>
          <w:sz w:val="44"/>
          <w:szCs w:val="44"/>
        </w:rPr>
      </w:r>
    </w:p>
    <w:p>
      <w:pPr>
        <w:pStyle w:val="1054"/>
        <w:numPr>
          <w:ilvl w:val="0"/>
          <w:numId w:val="1"/>
        </w:numPr>
        <w:ind w:left="0" w:firstLine="851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  <w:lang w:val="ru-RU"/>
        </w:rPr>
        <w:t xml:space="preserve">Закупочная</w:t>
      </w:r>
      <w:r>
        <w:rPr>
          <w:rFonts w:ascii="Times New Roman" w:hAnsi="Times New Roman"/>
          <w:bCs/>
          <w:sz w:val="22"/>
          <w:szCs w:val="22"/>
        </w:rPr>
        <w:t xml:space="preserve"> комиссия по результатам голосования решила:</w: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pStyle w:val="1054"/>
        <w:ind w:left="426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pStyle w:val="1043"/>
        <w:numPr>
          <w:ilvl w:val="0"/>
          <w:numId w:val="8"/>
        </w:numPr>
        <w:ind w:left="0" w:firstLine="709"/>
        <w:jc w:val="both"/>
        <w:tabs>
          <w:tab w:val="left" w:pos="567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Принимая во внимание </w:t>
      </w:r>
      <w:r>
        <w:rPr>
          <w:sz w:val="22"/>
          <w:szCs w:val="22"/>
        </w:rPr>
        <w:t xml:space="preserve">результаты проведенной экспертами экспертизы </w:t>
      </w:r>
      <w:r>
        <w:rPr>
          <w:bCs/>
          <w:sz w:val="22"/>
          <w:szCs w:val="22"/>
        </w:rPr>
        <w:t xml:space="preserve">поступивших первых частей заявок участников конкурса</w:t>
      </w:r>
      <w:r>
        <w:rPr>
          <w:bCs/>
          <w:sz w:val="22"/>
          <w:szCs w:val="22"/>
        </w:rPr>
        <w:t xml:space="preserve"> на </w:t>
      </w:r>
      <w:r>
        <w:rPr>
          <w:sz w:val="22"/>
          <w:szCs w:val="22"/>
        </w:rPr>
        <w:t xml:space="preserve">право </w:t>
      </w:r>
      <w:r>
        <w:rPr>
          <w:sz w:val="22"/>
          <w:szCs w:val="22"/>
        </w:rPr>
        <w:t xml:space="preserve">заключения </w:t>
      </w:r>
      <w:r>
        <w:rPr>
          <w:sz w:val="22"/>
          <w:szCs w:val="22"/>
        </w:rPr>
        <w:t xml:space="preserve">рамочного договора </w:t>
      </w:r>
      <w:r>
        <w:rPr>
          <w:sz w:val="22"/>
          <w:szCs w:val="22"/>
        </w:rPr>
        <w:t xml:space="preserve">на организацию стратегических сессий, конференций, рабочих и торжественных совещаний, представительских и аналогичных мероприятий, соревнований, выставок-форумов, открытия объектов и конкурсов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</w:t>
      </w:r>
      <w:r>
        <w:rPr>
          <w:sz w:val="22"/>
          <w:szCs w:val="22"/>
        </w:rPr>
        <w:t xml:space="preserve">260175</w:t>
      </w:r>
      <w:r>
        <w:rPr>
          <w:sz w:val="22"/>
          <w:szCs w:val="22"/>
        </w:rPr>
        <w:t xml:space="preserve">)</w:t>
      </w:r>
      <w:r>
        <w:rPr>
          <w:bCs/>
          <w:sz w:val="22"/>
          <w:szCs w:val="22"/>
        </w:rPr>
        <w:t xml:space="preserve">: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1043"/>
        <w:ind w:left="709"/>
        <w:jc w:val="both"/>
        <w:tabs>
          <w:tab w:val="left" w:pos="567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1043"/>
        <w:numPr>
          <w:ilvl w:val="1"/>
          <w:numId w:val="8"/>
        </w:numPr>
        <w:ind w:left="0"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Признать соответствующими требованиям документации о закупке и п</w:t>
      </w:r>
      <w:r>
        <w:rPr>
          <w:bCs/>
          <w:sz w:val="22"/>
          <w:szCs w:val="22"/>
        </w:rPr>
        <w:t xml:space="preserve">ринять к дальнейшему рассмотрению заявки следующих участников</w:t>
      </w:r>
      <w:r>
        <w:rPr>
          <w:bCs/>
          <w:sz w:val="22"/>
          <w:szCs w:val="22"/>
        </w:rPr>
        <w:t xml:space="preserve">: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left="720" w:firstLine="0"/>
        <w:jc w:val="both"/>
        <w:rPr>
          <w:sz w:val="22"/>
          <w:szCs w:val="22"/>
        </w:rPr>
      </w:pPr>
      <w:r>
        <w:rPr>
          <w:bCs/>
          <w:sz w:val="22"/>
          <w:szCs w:val="22"/>
          <w:highlight w:val="none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206" w:type="dxa"/>
        <w:tblInd w:w="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1560"/>
        <w:gridCol w:w="864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pStyle w:val="1043"/>
              <w:ind w:left="142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Участник конкурса</w:t>
            </w:r>
            <w:r>
              <w:rPr>
                <w:bCs/>
                <w:sz w:val="22"/>
                <w:szCs w:val="22"/>
              </w:rPr>
              <w:t xml:space="preserve"> в электронной форме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ind w:left="0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 </w:t>
            </w:r>
            <w:r>
              <w:rPr>
                <w:sz w:val="22"/>
                <w:szCs w:val="22"/>
              </w:rPr>
              <w:t xml:space="preserve">492911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center"/>
            <w:textDirection w:val="lrTb"/>
            <w:noWrap w:val="false"/>
          </w:tcPr>
          <w:p>
            <w:pPr>
              <w:ind w:left="0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492940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pStyle w:val="1043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center"/>
            <w:vMerge w:val="restart"/>
            <w:textDirection w:val="lrTb"/>
            <w:noWrap w:val="false"/>
          </w:tcPr>
          <w:p>
            <w:pPr>
              <w:ind w:left="0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492958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4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vMerge w:val="restart"/>
            <w:textDirection w:val="lrTb"/>
            <w:noWrap w:val="false"/>
          </w:tcPr>
          <w:p>
            <w:pPr>
              <w:pStyle w:val="1043"/>
              <w:jc w:val="center"/>
              <w:tabs>
                <w:tab w:val="left" w:pos="42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6" w:type="dxa"/>
            <w:vAlign w:val="center"/>
            <w:vMerge w:val="restart"/>
            <w:textDirection w:val="lrTb"/>
            <w:noWrap w:val="false"/>
          </w:tcPr>
          <w:p>
            <w:pPr>
              <w:ind w:left="0" w:right="142" w:firstLine="0"/>
              <w:jc w:val="left"/>
              <w:widowControl w:val="off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Участник 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493086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</w:tbl>
    <w:p>
      <w:pPr>
        <w:ind w:left="142"/>
        <w:jc w:val="both"/>
        <w:rPr>
          <w:b/>
          <w:bCs/>
          <w:sz w:val="22"/>
          <w:szCs w:val="22"/>
        </w:rPr>
      </w:pPr>
      <w:r>
        <w:rPr>
          <w:b/>
          <w:iCs/>
          <w:sz w:val="22"/>
          <w:szCs w:val="22"/>
        </w:rPr>
      </w:r>
      <w:r>
        <w:rPr>
          <w:b/>
          <w:i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ind w:left="142"/>
        <w:jc w:val="both"/>
        <w:rPr>
          <w:b/>
          <w:bCs/>
          <w:sz w:val="22"/>
          <w:szCs w:val="22"/>
        </w:rPr>
      </w:pPr>
      <w:r>
        <w:rPr>
          <w:b/>
          <w:bCs/>
          <w:iCs/>
          <w:sz w:val="22"/>
          <w:szCs w:val="22"/>
        </w:rPr>
      </w:r>
      <w:r>
        <w:rPr>
          <w:b/>
          <w:bCs/>
          <w:i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pStyle w:val="1043"/>
        <w:ind w:left="142"/>
        <w:jc w:val="both"/>
        <w:rPr>
          <w:b/>
          <w:bCs/>
          <w:iCs/>
          <w:sz w:val="22"/>
          <w:szCs w:val="22"/>
        </w:rPr>
      </w:pPr>
      <w:r>
        <w:rPr>
          <w:b/>
          <w:iCs/>
          <w:sz w:val="22"/>
          <w:szCs w:val="22"/>
        </w:rPr>
      </w:r>
      <w:r>
        <w:rPr>
          <w:b/>
          <w:bCs/>
          <w:iCs/>
          <w:sz w:val="22"/>
          <w:szCs w:val="22"/>
        </w:rPr>
      </w:r>
      <w:r>
        <w:rPr>
          <w:b/>
          <w:bCs/>
          <w:iCs/>
          <w:sz w:val="22"/>
          <w:szCs w:val="22"/>
        </w:rPr>
      </w:r>
    </w:p>
    <w:p>
      <w:pPr>
        <w:ind w:firstLine="709"/>
        <w:jc w:val="both"/>
        <w:rPr>
          <w:color w:val="000000" w:themeColor="text1"/>
          <w:sz w:val="22"/>
          <w:szCs w:val="22"/>
          <w:highlight w:val="none"/>
        </w:rPr>
      </w:pPr>
      <w:r>
        <w:rPr>
          <w:sz w:val="22"/>
          <w:szCs w:val="22"/>
        </w:rPr>
        <w:t xml:space="preserve">2. </w:t>
        <w:tab/>
      </w:r>
      <w:r>
        <w:rPr>
          <w:sz w:val="22"/>
          <w:szCs w:val="22"/>
        </w:rPr>
        <w:t xml:space="preserve">Продлить сроки проведения этапов конкурса в соответствии с п. 8.1.2 д) Единого Стандарта закупок ПАО «Россети» (Положение о закупке):</w:t>
      </w:r>
      <w:r>
        <w:rPr>
          <w:color w:val="000000" w:themeColor="text1"/>
          <w:sz w:val="22"/>
          <w:szCs w:val="22"/>
          <w:highlight w:val="none"/>
        </w:rPr>
      </w:r>
      <w:r>
        <w:rPr>
          <w:color w:val="000000" w:themeColor="text1"/>
          <w:sz w:val="22"/>
          <w:szCs w:val="22"/>
          <w:highlight w:val="none"/>
        </w:rPr>
      </w:r>
    </w:p>
    <w:p>
      <w:pPr>
        <w:ind w:left="142"/>
        <w:jc w:val="both"/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/>
    </w:p>
    <w:p>
      <w:pPr>
        <w:ind w:left="142"/>
        <w:jc w:val="both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 xml:space="preserve">Рассмотрение первых частей заявок: 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142"/>
        <w:jc w:val="both"/>
      </w:pPr>
      <w:r>
        <w:rPr>
          <w:sz w:val="22"/>
          <w:szCs w:val="22"/>
          <w:highlight w:val="none"/>
        </w:rPr>
        <w:t xml:space="preserve">Дата окончания проведения этапа: «21» мая 2026 года.</w:t>
      </w:r>
      <w:r/>
    </w:p>
    <w:p>
      <w:pPr>
        <w:ind w:left="142"/>
        <w:jc w:val="both"/>
      </w:pPr>
      <w:r>
        <w:rPr>
          <w:sz w:val="22"/>
          <w:szCs w:val="22"/>
          <w:highlight w:val="none"/>
        </w:rPr>
      </w:r>
      <w:r/>
    </w:p>
    <w:p>
      <w:pPr>
        <w:ind w:left="142"/>
        <w:jc w:val="both"/>
      </w:pPr>
      <w:r>
        <w:rPr>
          <w:sz w:val="22"/>
          <w:szCs w:val="22"/>
          <w:highlight w:val="none"/>
        </w:rPr>
        <w:t xml:space="preserve">Подача дополнительных ценовых предложений участников закупки:</w:t>
      </w:r>
      <w:r/>
    </w:p>
    <w:p>
      <w:pPr>
        <w:ind w:left="142"/>
        <w:jc w:val="both"/>
      </w:pPr>
      <w:r>
        <w:rPr>
          <w:sz w:val="22"/>
          <w:szCs w:val="22"/>
          <w:highlight w:val="none"/>
        </w:rPr>
        <w:t xml:space="preserve">Дата проведения этапа: «22» мая 2026 г.</w:t>
      </w:r>
      <w:r/>
    </w:p>
    <w:p>
      <w:pPr>
        <w:ind w:left="142"/>
        <w:jc w:val="both"/>
      </w:pPr>
      <w:r>
        <w:rPr>
          <w:sz w:val="22"/>
          <w:szCs w:val="22"/>
          <w:highlight w:val="none"/>
        </w:rPr>
        <w:t xml:space="preserve">Информация о времени начала подачи дополнительных ценовых предложений размещается оператором ЭТП в единой информационной системе. </w:t>
      </w:r>
      <w:r/>
    </w:p>
    <w:p>
      <w:pPr>
        <w:ind w:left="142"/>
        <w:jc w:val="both"/>
      </w:pPr>
      <w:r>
        <w:rPr>
          <w:sz w:val="22"/>
          <w:szCs w:val="22"/>
          <w:highlight w:val="none"/>
        </w:rPr>
        <w:t xml:space="preserve">Продолжительность приема дополнительных ценовых предложений от участников закупки составляет три часа.</w:t>
      </w:r>
      <w:r/>
    </w:p>
    <w:p>
      <w:pPr>
        <w:ind w:left="142"/>
        <w:jc w:val="both"/>
      </w:pPr>
      <w:r>
        <w:rPr>
          <w:sz w:val="22"/>
          <w:szCs w:val="22"/>
          <w:highlight w:val="none"/>
        </w:rPr>
      </w:r>
      <w:r/>
    </w:p>
    <w:p>
      <w:pPr>
        <w:ind w:left="142"/>
        <w:jc w:val="both"/>
      </w:pPr>
      <w:r>
        <w:rPr>
          <w:sz w:val="22"/>
          <w:szCs w:val="22"/>
          <w:highlight w:val="none"/>
        </w:rPr>
        <w:t xml:space="preserve">Рассмотрение и оценка вторых частей заявок:</w:t>
      </w:r>
      <w:r/>
    </w:p>
    <w:p>
      <w:pPr>
        <w:ind w:left="142"/>
        <w:jc w:val="both"/>
      </w:pPr>
      <w:r>
        <w:rPr>
          <w:sz w:val="22"/>
          <w:szCs w:val="22"/>
          <w:highlight w:val="none"/>
        </w:rPr>
        <w:t xml:space="preserve">Дата начала проведения этапа: «25» мая 2026 года.</w:t>
      </w:r>
      <w:r/>
    </w:p>
    <w:p>
      <w:pPr>
        <w:ind w:left="142"/>
        <w:jc w:val="both"/>
      </w:pPr>
      <w:r>
        <w:rPr>
          <w:sz w:val="22"/>
          <w:szCs w:val="22"/>
          <w:highlight w:val="none"/>
        </w:rPr>
        <w:t xml:space="preserve">Дата окончания проведения этапа: «03» июня 2026 года.</w:t>
      </w:r>
      <w:r/>
    </w:p>
    <w:p>
      <w:pPr>
        <w:ind w:left="142"/>
        <w:jc w:val="both"/>
      </w:pPr>
      <w:r>
        <w:rPr>
          <w:sz w:val="22"/>
          <w:szCs w:val="22"/>
          <w:highlight w:val="none"/>
        </w:rPr>
      </w:r>
      <w:r/>
    </w:p>
    <w:p>
      <w:pPr>
        <w:ind w:left="142"/>
        <w:jc w:val="both"/>
      </w:pPr>
      <w:r>
        <w:rPr>
          <w:sz w:val="22"/>
          <w:szCs w:val="22"/>
          <w:highlight w:val="none"/>
        </w:rPr>
        <w:t xml:space="preserve">Подведение итогов закупки: </w:t>
      </w:r>
      <w:r/>
    </w:p>
    <w:p>
      <w:pPr>
        <w:ind w:left="142"/>
        <w:jc w:val="both"/>
      </w:pPr>
      <w:r>
        <w:rPr>
          <w:sz w:val="22"/>
          <w:szCs w:val="22"/>
          <w:highlight w:val="none"/>
        </w:rPr>
        <w:t xml:space="preserve">Дата начала проведения этапа: «04» июня 2026 года.</w:t>
      </w:r>
      <w:r/>
    </w:p>
    <w:p>
      <w:pPr>
        <w:ind w:left="142"/>
        <w:jc w:val="both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 xml:space="preserve">Дата окончания проведения этапа: «04» июня 2026 года.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142"/>
        <w:jc w:val="both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142"/>
        <w:jc w:val="both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142"/>
        <w:jc w:val="both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142"/>
        <w:jc w:val="both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142"/>
        <w:jc w:val="both"/>
        <w:rPr>
          <w:b/>
          <w:bCs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707" w:bottom="709" w:left="992" w:header="709" w:footer="709" w:gutter="0"/>
          <w:cols w:num="1" w:sep="0" w:space="720" w:equalWidth="1"/>
          <w:docGrid w:linePitch="360"/>
        </w:sectPr>
      </w:pPr>
      <w:r>
        <w:rPr>
          <w:b/>
          <w:i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ind w:left="142"/>
        <w:jc w:val="both"/>
        <w:rPr>
          <w:sz w:val="22"/>
          <w:szCs w:val="22"/>
          <w:highlight w:val="none"/>
        </w:rPr>
      </w:pPr>
      <w:r>
        <w:rPr>
          <w:b/>
          <w:iCs/>
          <w:sz w:val="22"/>
          <w:szCs w:val="22"/>
        </w:rPr>
        <w:t xml:space="preserve">Результаты голосования: </w:t>
      </w:r>
      <w:r>
        <w:rPr>
          <w:sz w:val="22"/>
          <w:szCs w:val="22"/>
        </w:rPr>
        <w:t xml:space="preserve">«За» - ____ членов комиссии; «Против» - ____ членов комиссии; 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1043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«Воздержался» - ____ членов комиссии; «Отсутствовало» - ____ членов комиссии.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43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43"/>
        <w:ind w:left="14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1043"/>
        <w:ind w:left="14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Подписи членов Закупочной комиссии: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44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02"/>
        <w:gridCol w:w="1418"/>
        <w:gridCol w:w="1559"/>
        <w:gridCol w:w="2126"/>
        <w:gridCol w:w="3639"/>
      </w:tblGrid>
      <w:tr>
        <w:tblPrEx/>
        <w:trPr>
          <w:trHeight w:val="9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1043"/>
              <w:ind w:left="404"/>
              <w:jc w:val="both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За/Против/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Возд./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Отсутст.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ФИО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1293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1043"/>
              <w:jc w:val="both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Председатель комиссии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Парфенов Н.Н.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1078"/>
              <w:ind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Исполняющий обязанности начальника департамента логистики и МТО ПАО «Россети Ленэнерго»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1126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1043"/>
              <w:jc w:val="both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председателя комиссии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Захаров А.В.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1078"/>
              <w:ind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 по безопасности - начальник департамента безопасности ПАО «Россети Ленэнерго»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109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pStyle w:val="1043"/>
              <w:ind w:left="181"/>
              <w:jc w:val="both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Члены комиссии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Гаас О.А.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1078"/>
              <w:ind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Исполняющий обязанности директора по финансам – начальника департамента финансов ПАО «Россети Ленэнерго»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112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1043"/>
              <w:ind w:left="181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078"/>
              <w:ind w:left="40" w:firstLine="0"/>
              <w:jc w:val="center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Чумак Ю.В.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1078"/>
              <w:ind w:left="40"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Начальник отдела антикоррупционных комплаенс-процедур ПАО «Россети Ленэнерго»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121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1043"/>
              <w:ind w:left="181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Подольский В.А.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1078"/>
              <w:ind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начальника отдела правовой экспертизы </w:t>
              <w:br/>
              <w:t xml:space="preserve">ПАО «Россети Ленэнерго»</w:t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10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1043"/>
              <w:ind w:left="181"/>
              <w:jc w:val="both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Батанов П.В.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1078"/>
              <w:ind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главного инженера </w:t>
              <w:br/>
              <w:t xml:space="preserve">по высоковольтным сетям –начальник департамента высоковольтных сетей ПАО «Россети Ленэнерго»</w:t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10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1043"/>
              <w:ind w:left="181"/>
              <w:jc w:val="both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Сафонов А.М.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1078"/>
              <w:ind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Начальник тендерно-договорного отдела управления строительства и реконструкции объектов распределительной сети департамента капитального строительства ПАО «Россети Ленэнерго»</w:t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02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1043"/>
              <w:ind w:left="181"/>
              <w:jc w:val="both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Бурыкина Р.Б.</w:t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1078"/>
              <w:ind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Начальник департамента управления делами</w:t>
              <w:br/>
              <w:t xml:space="preserve">ПАО «Россети Ленэнерго»</w:t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98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1043"/>
              <w:jc w:val="both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Секретарь комиссии (без права голоса)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043"/>
              <w:jc w:val="center"/>
              <w:spacing w:after="0" w:afterAutospacing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Куканиева Л.В.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1078"/>
              <w:ind w:firstLine="0"/>
              <w:spacing w:after="0" w:afterAutospacing="0" w:line="240" w:lineRule="auto"/>
              <w:shd w:val="clear" w:color="auto" w:fill="auto"/>
              <w:rPr>
                <w:rFonts w:ascii="Times New Roman" w:hAnsi="Times New Roman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Главный специалист отдела подготовки и проведения ко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нкурсов ПАО «Россети Ленэнерго»</w:t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/>
                <w:sz w:val="22"/>
                <w:szCs w:val="22"/>
                <w14:ligatures w14:val="none"/>
              </w:rPr>
            </w:r>
          </w:p>
        </w:tc>
      </w:tr>
    </w:tbl>
    <w:p>
      <w:pPr>
        <w:pStyle w:val="1043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r/>
      <w:r/>
    </w:p>
    <w:sectPr>
      <w:footnotePr/>
      <w:endnotePr/>
      <w:type w:val="nextPage"/>
      <w:pgSz w:w="11906" w:h="16838" w:orient="portrait"/>
      <w:pgMar w:top="709" w:right="707" w:bottom="709" w:left="992" w:header="284" w:footer="266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Liberation Sans">
    <w:panose1 w:val="020B0604020202020204"/>
  </w:font>
  <w:font w:name="Wingdings">
    <w:panose1 w:val="05010000000000000000"/>
  </w:font>
  <w:font w:name="Courier New">
    <w:panose1 w:val="02070309020205020404"/>
  </w:font>
  <w:font w:name="Times New Roman CYR">
    <w:panose1 w:val="020206030504050203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45"/>
      <w:jc w:val="center"/>
      <w:widowControl w:val="off"/>
      <w:tabs>
        <w:tab w:val="num" w:pos="1418" w:leader="none"/>
      </w:tabs>
      <w:rPr>
        <w:sz w:val="18"/>
        <w:szCs w:val="18"/>
        <w14:ligatures w14:val="none"/>
      </w:rPr>
    </w:pPr>
    <w:r>
      <w:rPr>
        <w:bCs/>
        <w:sz w:val="18"/>
        <w:szCs w:val="18"/>
      </w:rPr>
      <w:t xml:space="preserve">Протоко</w:t>
    </w:r>
    <w:r>
      <w:rPr>
        <w:sz w:val="18"/>
        <w:szCs w:val="18"/>
      </w:rPr>
      <w:t xml:space="preserve">л</w:t>
    </w:r>
    <w:r>
      <w:rPr>
        <w:sz w:val="18"/>
        <w:szCs w:val="18"/>
      </w:rPr>
      <w:t xml:space="preserve"> </w:t>
    </w:r>
    <w:r>
      <w:rPr>
        <w:sz w:val="18"/>
        <w:szCs w:val="18"/>
      </w:rPr>
      <w:t xml:space="preserve">№</w:t>
    </w:r>
    <w:r>
      <w:rPr>
        <w:sz w:val="18"/>
        <w:szCs w:val="18"/>
      </w:rPr>
      <w:t xml:space="preserve"> </w:t>
    </w:r>
    <w:r>
      <w:rPr>
        <w:sz w:val="18"/>
        <w:szCs w:val="18"/>
      </w:rPr>
      <w:t xml:space="preserve">260175</w:t>
    </w:r>
    <w:r>
      <w:rPr>
        <w:sz w:val="18"/>
        <w:szCs w:val="18"/>
      </w:rPr>
      <w:t xml:space="preserve">-</w:t>
    </w:r>
    <w:r>
      <w:rPr>
        <w:sz w:val="18"/>
        <w:szCs w:val="18"/>
      </w:rPr>
      <w:t xml:space="preserve">2</w:t>
    </w:r>
    <w:r>
      <w:rPr>
        <w:sz w:val="18"/>
        <w:szCs w:val="18"/>
        <w14:ligatures w14:val="none"/>
      </w:rPr>
    </w:r>
    <w:r>
      <w:rPr>
        <w:sz w:val="18"/>
        <w:szCs w:val="18"/>
        <w14:ligatures w14:val="none"/>
      </w:rPr>
    </w:r>
  </w:p>
  <w:p>
    <w:pPr>
      <w:pStyle w:val="1045"/>
      <w:jc w:val="center"/>
      <w:widowControl w:val="off"/>
      <w:tabs>
        <w:tab w:val="num" w:pos="1418" w:leader="none"/>
      </w:tabs>
      <w:rPr>
        <w:bCs/>
        <w:sz w:val="18"/>
        <w:szCs w:val="18"/>
      </w:rPr>
    </w:pPr>
    <w:r>
      <w:rPr>
        <w:bCs/>
        <w:sz w:val="18"/>
        <w:szCs w:val="18"/>
      </w:rPr>
      <w:t xml:space="preserve">страница </w:t>
    </w:r>
    <w:r>
      <w:rPr>
        <w:bCs/>
        <w:sz w:val="18"/>
        <w:szCs w:val="18"/>
      </w:rPr>
      <w:fldChar w:fldCharType="begin"/>
    </w:r>
    <w:r>
      <w:rPr>
        <w:bCs/>
        <w:sz w:val="18"/>
        <w:szCs w:val="18"/>
      </w:rPr>
      <w:instrText xml:space="preserve">PAGE</w:instrText>
    </w:r>
    <w:r>
      <w:rPr>
        <w:bCs/>
        <w:sz w:val="18"/>
        <w:szCs w:val="18"/>
      </w:rPr>
      <w:fldChar w:fldCharType="separate"/>
    </w:r>
    <w:r>
      <w:rPr>
        <w:bCs/>
        <w:sz w:val="18"/>
        <w:szCs w:val="18"/>
      </w:rPr>
      <w:t xml:space="preserve">3</w:t>
    </w:r>
    <w:r>
      <w:rPr>
        <w:bCs/>
        <w:sz w:val="18"/>
        <w:szCs w:val="18"/>
      </w:rPr>
      <w:fldChar w:fldCharType="end"/>
    </w:r>
    <w:r>
      <w:rPr>
        <w:bCs/>
        <w:sz w:val="18"/>
        <w:szCs w:val="18"/>
      </w:rPr>
      <w:t xml:space="preserve"> из </w:t>
    </w:r>
    <w:r>
      <w:rPr>
        <w:bCs/>
        <w:sz w:val="18"/>
        <w:szCs w:val="18"/>
      </w:rPr>
      <w:fldChar w:fldCharType="begin"/>
    </w:r>
    <w:r>
      <w:rPr>
        <w:bCs/>
        <w:sz w:val="18"/>
        <w:szCs w:val="18"/>
      </w:rPr>
      <w:instrText xml:space="preserve">NUMPAGES</w:instrText>
    </w:r>
    <w:r>
      <w:rPr>
        <w:bCs/>
        <w:sz w:val="18"/>
        <w:szCs w:val="18"/>
      </w:rPr>
      <w:fldChar w:fldCharType="separate"/>
    </w:r>
    <w:r>
      <w:rPr>
        <w:bCs/>
        <w:sz w:val="18"/>
        <w:szCs w:val="18"/>
      </w:rPr>
      <w:t xml:space="preserve">3</w:t>
    </w:r>
    <w:r>
      <w:rPr>
        <w:bCs/>
        <w:sz w:val="18"/>
        <w:szCs w:val="18"/>
      </w:rPr>
      <w:fldChar w:fldCharType="end"/>
    </w:r>
    <w:r>
      <w:rPr>
        <w:bCs/>
        <w:sz w:val="18"/>
        <w:szCs w:val="18"/>
      </w:rPr>
    </w:r>
    <w:r>
      <w:rPr>
        <w:bCs/>
        <w:sz w:val="18"/>
        <w:szCs w:val="18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86"/>
      <w:isLgl w:val="false"/>
      <w:suff w:val="tab"/>
      <w:lvlText w:val="%1."/>
      <w:lvlJc w:val="left"/>
      <w:pPr>
        <w:ind w:left="1209" w:hanging="360"/>
        <w:tabs>
          <w:tab w:val="num" w:pos="120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4">
    <w:multiLevelType w:val="hybridMultilevel"/>
    <w:lvl w:ilvl="0">
      <w:start w:val="1"/>
      <w:numFmt w:val="decimal"/>
      <w:pStyle w:val="1044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1045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1053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1054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1055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8" w:hanging="360"/>
      </w:pPr>
      <w:rPr>
        <w:rFonts w:ascii="Symbol" w:hAnsi="Symbol"/>
        <w:b/>
        <w:sz w:val="20"/>
        <w:szCs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508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8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8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8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8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8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8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126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76" w:hanging="360"/>
      </w:pPr>
      <w:rPr>
        <w:rFonts w:ascii="Symbol" w:hAnsi="Symbol"/>
        <w:b/>
        <w:sz w:val="20"/>
        <w:szCs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2228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48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68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88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08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28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48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68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880" w:hanging="360"/>
        <w:tabs>
          <w:tab w:val="num" w:pos="28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3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2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9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69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  <w:rPr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01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6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47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0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816" w:hanging="180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44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  <w:sz w:val="20"/>
        <w:szCs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ascii="Wingdings" w:hAnsi="Wingdings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0"/>
      </w:pPr>
      <w:rPr>
        <w:rFonts w:hint="default" w:ascii="Times New Roman" w:hAnsi="Times New Roman" w:eastAsia="Times New Roman" w:cs="Times New Roman"/>
        <w:b/>
        <w:sz w:val="20"/>
      </w:rPr>
    </w:lvl>
    <w:lvl w:ilvl="1">
      <w:start w:val="1"/>
      <w:numFmt w:val="decimal"/>
      <w:isLgl w:val="false"/>
      <w:suff w:val="nothing"/>
      <w:lvlText w:val="%1.%2."/>
      <w:lvlJc w:val="left"/>
      <w:pPr>
        <w:ind w:left="0" w:firstLine="0"/>
      </w:pPr>
      <w:rPr>
        <w:rFonts w:hint="default" w:ascii="Times New Roman" w:hAnsi="Times New Roman" w:eastAsia="Times New Roman" w:cs="Times New Roman"/>
        <w:b w:val="0"/>
        <w:sz w:val="2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  <w:sz w:val="20"/>
        <w:szCs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4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0"/>
      </w:pPr>
      <w:rPr>
        <w:rFonts w:hint="default" w:ascii="Times New Roman" w:hAnsi="Times New Roman" w:eastAsia="Times New Roman" w:cs="Times New Roman"/>
        <w:b/>
        <w:sz w:val="20"/>
      </w:rPr>
    </w:lvl>
    <w:lvl w:ilvl="1">
      <w:start w:val="1"/>
      <w:numFmt w:val="decimal"/>
      <w:isLgl w:val="false"/>
      <w:suff w:val="nothing"/>
      <w:lvlText w:val="%1.%2."/>
      <w:lvlJc w:val="left"/>
      <w:pPr>
        <w:ind w:left="0" w:firstLine="0"/>
      </w:pPr>
      <w:rPr>
        <w:rFonts w:hint="default" w:ascii="Times New Roman" w:hAnsi="Times New Roman" w:eastAsia="Times New Roman" w:cs="Times New Roman"/>
        <w:b w:val="0"/>
        <w:sz w:val="2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  <w:sz w:val="20"/>
        <w:szCs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  <w:sz w:val="20"/>
        <w:szCs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§"/>
      <w:lvlJc w:val="left"/>
      <w:pPr>
        <w:ind w:left="1134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§"/>
      <w:lvlJc w:val="left"/>
      <w:pPr>
        <w:ind w:left="1134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hint="default" w:ascii="Wingdings" w:hAnsi="Wingdings" w:eastAsia="Wingdings" w:cs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§"/>
      <w:lvlJc w:val="left"/>
      <w:pPr>
        <w:ind w:left="1134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hint="default" w:ascii="Wingdings" w:hAnsi="Wingdings" w:eastAsia="Wingdings" w:cs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§"/>
      <w:lvlJc w:val="left"/>
      <w:pPr>
        <w:ind w:left="1134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§"/>
      <w:lvlJc w:val="left"/>
      <w:pPr>
        <w:ind w:left="1134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hint="default" w:ascii="Wingdings" w:hAnsi="Wingdings" w:eastAsia="Wingdings" w:cs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§"/>
      <w:lvlJc w:val="left"/>
      <w:pPr>
        <w:ind w:left="1134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hint="default" w:ascii="Wingdings" w:hAnsi="Wingdings" w:eastAsia="Wingdings" w:cs="Wingdings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§"/>
      <w:lvlJc w:val="left"/>
      <w:pPr>
        <w:ind w:left="1134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hint="default" w:ascii="Wingdings" w:hAnsi="Wingdings" w:eastAsia="Wingdings" w:cs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§"/>
      <w:lvlJc w:val="left"/>
      <w:pPr>
        <w:ind w:left="1134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hint="default" w:ascii="Wingdings" w:hAnsi="Wingdings" w:eastAsia="Wingdings" w:cs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§"/>
      <w:lvlJc w:val="left"/>
      <w:pPr>
        <w:ind w:left="1134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hint="default" w:ascii="Wingdings" w:hAnsi="Wingdings" w:eastAsia="Wingdings" w:cs="Wingdings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§"/>
      <w:lvlJc w:val="left"/>
      <w:pPr>
        <w:ind w:left="1134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hint="default" w:ascii="Wingdings" w:hAnsi="Wingdings" w:eastAsia="Wingdings" w:cs="Wingdings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§"/>
      <w:lvlJc w:val="left"/>
      <w:pPr>
        <w:ind w:left="1134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hint="default" w:ascii="Wingdings" w:hAnsi="Wingdings" w:eastAsia="Wingdings" w:cs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§"/>
      <w:lvlJc w:val="left"/>
      <w:pPr>
        <w:ind w:left="1134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hint="default" w:ascii="Wingdings" w:hAnsi="Wingdings" w:eastAsia="Wingdings" w:cs="Wingdings"/>
      </w:rPr>
    </w:lvl>
  </w:abstractNum>
  <w:abstractNum w:abstractNumId="77">
    <w:multiLevelType w:val="hybridMultilevel"/>
    <w:lvl w:ilvl="0">
      <w:start w:val="1"/>
      <w:numFmt w:val="bullet"/>
      <w:isLgl w:val="false"/>
      <w:suff w:val="tab"/>
      <w:lvlText w:val="§"/>
      <w:lvlJc w:val="left"/>
      <w:pPr>
        <w:ind w:left="1134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hint="default" w:ascii="Wingdings" w:hAnsi="Wingdings" w:eastAsia="Wingdings" w:cs="Wingdings"/>
      </w:r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8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8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 CYR" w:hAnsi="Times New Roman CYR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8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8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8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1"/>
  </w:num>
  <w:num w:numId="5">
    <w:abstractNumId w:val="11"/>
  </w:num>
  <w:num w:numId="6">
    <w:abstractNumId w:val="3"/>
  </w:num>
  <w:num w:numId="7">
    <w:abstractNumId w:val="4"/>
  </w:num>
  <w:num w:numId="8">
    <w:abstractNumId w:val="8"/>
  </w:num>
  <w:num w:numId="9">
    <w:abstractNumId w:val="6"/>
  </w:num>
  <w:num w:numId="10">
    <w:abstractNumId w:val="13"/>
  </w:num>
  <w:num w:numId="11">
    <w:abstractNumId w:val="0"/>
  </w:num>
  <w:num w:numId="12">
    <w:abstractNumId w:val="2"/>
  </w:num>
  <w:num w:numId="13">
    <w:abstractNumId w:val="7"/>
  </w:num>
  <w:num w:numId="14">
    <w:abstractNumId w:val="5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  <w:num w:numId="87">
    <w:abstractNumId w:val="8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65">
    <w:name w:val="Heading 1"/>
    <w:basedOn w:val="1043"/>
    <w:next w:val="1043"/>
    <w:link w:val="86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66">
    <w:name w:val="Heading 1 Char"/>
    <w:link w:val="865"/>
    <w:uiPriority w:val="9"/>
    <w:rPr>
      <w:rFonts w:ascii="Arial" w:hAnsi="Arial" w:eastAsia="Arial" w:cs="Arial"/>
      <w:sz w:val="40"/>
      <w:szCs w:val="40"/>
    </w:rPr>
  </w:style>
  <w:style w:type="paragraph" w:styleId="867">
    <w:name w:val="Heading 2"/>
    <w:basedOn w:val="1043"/>
    <w:next w:val="1043"/>
    <w:link w:val="86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68">
    <w:name w:val="Heading 2 Char"/>
    <w:link w:val="867"/>
    <w:uiPriority w:val="9"/>
    <w:rPr>
      <w:rFonts w:ascii="Arial" w:hAnsi="Arial" w:eastAsia="Arial" w:cs="Arial"/>
      <w:sz w:val="34"/>
    </w:rPr>
  </w:style>
  <w:style w:type="paragraph" w:styleId="869">
    <w:name w:val="Heading 3"/>
    <w:basedOn w:val="1043"/>
    <w:next w:val="1043"/>
    <w:link w:val="87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70">
    <w:name w:val="Heading 3 Char"/>
    <w:link w:val="869"/>
    <w:uiPriority w:val="9"/>
    <w:rPr>
      <w:rFonts w:ascii="Arial" w:hAnsi="Arial" w:eastAsia="Arial" w:cs="Arial"/>
      <w:sz w:val="30"/>
      <w:szCs w:val="30"/>
    </w:rPr>
  </w:style>
  <w:style w:type="paragraph" w:styleId="871">
    <w:name w:val="Heading 4"/>
    <w:basedOn w:val="1043"/>
    <w:next w:val="1043"/>
    <w:link w:val="87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72">
    <w:name w:val="Heading 4 Char"/>
    <w:link w:val="871"/>
    <w:uiPriority w:val="9"/>
    <w:rPr>
      <w:rFonts w:ascii="Arial" w:hAnsi="Arial" w:eastAsia="Arial" w:cs="Arial"/>
      <w:b/>
      <w:bCs/>
      <w:sz w:val="26"/>
      <w:szCs w:val="26"/>
    </w:rPr>
  </w:style>
  <w:style w:type="paragraph" w:styleId="873">
    <w:name w:val="Heading 5"/>
    <w:basedOn w:val="1043"/>
    <w:next w:val="1043"/>
    <w:link w:val="87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74">
    <w:name w:val="Heading 5 Char"/>
    <w:link w:val="873"/>
    <w:uiPriority w:val="9"/>
    <w:rPr>
      <w:rFonts w:ascii="Arial" w:hAnsi="Arial" w:eastAsia="Arial" w:cs="Arial"/>
      <w:b/>
      <w:bCs/>
      <w:sz w:val="24"/>
      <w:szCs w:val="24"/>
    </w:rPr>
  </w:style>
  <w:style w:type="paragraph" w:styleId="875">
    <w:name w:val="Heading 6"/>
    <w:basedOn w:val="1043"/>
    <w:next w:val="1043"/>
    <w:link w:val="87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76">
    <w:name w:val="Heading 6 Char"/>
    <w:link w:val="875"/>
    <w:uiPriority w:val="9"/>
    <w:rPr>
      <w:rFonts w:ascii="Arial" w:hAnsi="Arial" w:eastAsia="Arial" w:cs="Arial"/>
      <w:b/>
      <w:bCs/>
      <w:sz w:val="22"/>
      <w:szCs w:val="22"/>
    </w:rPr>
  </w:style>
  <w:style w:type="paragraph" w:styleId="877">
    <w:name w:val="Heading 7"/>
    <w:basedOn w:val="1043"/>
    <w:next w:val="1043"/>
    <w:link w:val="87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78">
    <w:name w:val="Heading 7 Char"/>
    <w:link w:val="8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79">
    <w:name w:val="Heading 8"/>
    <w:basedOn w:val="1043"/>
    <w:next w:val="1043"/>
    <w:link w:val="88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80">
    <w:name w:val="Heading 8 Char"/>
    <w:link w:val="879"/>
    <w:uiPriority w:val="9"/>
    <w:rPr>
      <w:rFonts w:ascii="Arial" w:hAnsi="Arial" w:eastAsia="Arial" w:cs="Arial"/>
      <w:i/>
      <w:iCs/>
      <w:sz w:val="22"/>
      <w:szCs w:val="22"/>
    </w:rPr>
  </w:style>
  <w:style w:type="paragraph" w:styleId="881">
    <w:name w:val="Heading 9"/>
    <w:basedOn w:val="1043"/>
    <w:next w:val="1043"/>
    <w:link w:val="88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82">
    <w:name w:val="Heading 9 Char"/>
    <w:link w:val="881"/>
    <w:uiPriority w:val="9"/>
    <w:rPr>
      <w:rFonts w:ascii="Arial" w:hAnsi="Arial" w:eastAsia="Arial" w:cs="Arial"/>
      <w:i/>
      <w:iCs/>
      <w:sz w:val="21"/>
      <w:szCs w:val="21"/>
    </w:rPr>
  </w:style>
  <w:style w:type="paragraph" w:styleId="883">
    <w:name w:val="List Paragraph"/>
    <w:basedOn w:val="1043"/>
    <w:uiPriority w:val="34"/>
    <w:qFormat/>
    <w:pPr>
      <w:contextualSpacing/>
      <w:ind w:left="720"/>
    </w:pPr>
  </w:style>
  <w:style w:type="paragraph" w:styleId="884">
    <w:name w:val="No Spacing"/>
    <w:uiPriority w:val="1"/>
    <w:qFormat/>
    <w:pPr>
      <w:spacing w:before="0" w:after="0" w:line="240" w:lineRule="auto"/>
    </w:pPr>
  </w:style>
  <w:style w:type="paragraph" w:styleId="885">
    <w:name w:val="Title"/>
    <w:basedOn w:val="1043"/>
    <w:next w:val="1043"/>
    <w:link w:val="88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86">
    <w:name w:val="Title Char"/>
    <w:link w:val="885"/>
    <w:uiPriority w:val="10"/>
    <w:rPr>
      <w:sz w:val="48"/>
      <w:szCs w:val="48"/>
    </w:rPr>
  </w:style>
  <w:style w:type="paragraph" w:styleId="887">
    <w:name w:val="Subtitle"/>
    <w:basedOn w:val="1043"/>
    <w:next w:val="1043"/>
    <w:link w:val="888"/>
    <w:uiPriority w:val="11"/>
    <w:qFormat/>
    <w:pPr>
      <w:spacing w:before="200" w:after="200"/>
    </w:pPr>
    <w:rPr>
      <w:sz w:val="24"/>
      <w:szCs w:val="24"/>
    </w:rPr>
  </w:style>
  <w:style w:type="character" w:styleId="888">
    <w:name w:val="Subtitle Char"/>
    <w:link w:val="887"/>
    <w:uiPriority w:val="11"/>
    <w:rPr>
      <w:sz w:val="24"/>
      <w:szCs w:val="24"/>
    </w:rPr>
  </w:style>
  <w:style w:type="paragraph" w:styleId="889">
    <w:name w:val="Quote"/>
    <w:basedOn w:val="1043"/>
    <w:next w:val="1043"/>
    <w:link w:val="890"/>
    <w:uiPriority w:val="29"/>
    <w:qFormat/>
    <w:pPr>
      <w:ind w:left="720" w:right="720"/>
    </w:pPr>
    <w:rPr>
      <w:i/>
    </w:rPr>
  </w:style>
  <w:style w:type="character" w:styleId="890">
    <w:name w:val="Quote Char"/>
    <w:link w:val="889"/>
    <w:uiPriority w:val="29"/>
    <w:rPr>
      <w:i/>
    </w:rPr>
  </w:style>
  <w:style w:type="paragraph" w:styleId="891">
    <w:name w:val="Intense Quote"/>
    <w:basedOn w:val="1043"/>
    <w:next w:val="1043"/>
    <w:link w:val="89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92">
    <w:name w:val="Intense Quote Char"/>
    <w:link w:val="891"/>
    <w:uiPriority w:val="30"/>
    <w:rPr>
      <w:i/>
    </w:rPr>
  </w:style>
  <w:style w:type="paragraph" w:styleId="893">
    <w:name w:val="Header"/>
    <w:basedOn w:val="1043"/>
    <w:link w:val="8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94">
    <w:name w:val="Header Char"/>
    <w:link w:val="893"/>
    <w:uiPriority w:val="99"/>
  </w:style>
  <w:style w:type="paragraph" w:styleId="895">
    <w:name w:val="Footer"/>
    <w:basedOn w:val="1043"/>
    <w:link w:val="89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96">
    <w:name w:val="Footer Char"/>
    <w:link w:val="895"/>
    <w:uiPriority w:val="99"/>
  </w:style>
  <w:style w:type="paragraph" w:styleId="897">
    <w:name w:val="Caption"/>
    <w:basedOn w:val="1043"/>
    <w:next w:val="1043"/>
    <w:link w:val="8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98">
    <w:name w:val="Caption Char"/>
    <w:basedOn w:val="897"/>
    <w:link w:val="895"/>
    <w:uiPriority w:val="99"/>
  </w:style>
  <w:style w:type="table" w:styleId="89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0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2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2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3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3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3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3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3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4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4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6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6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6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6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6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9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9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9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9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9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0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0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0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0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0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0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0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0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0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1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1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1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1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1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1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1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1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25">
    <w:name w:val="Hyperlink"/>
    <w:uiPriority w:val="99"/>
    <w:unhideWhenUsed/>
    <w:rPr>
      <w:color w:val="0000ff" w:themeColor="hyperlink"/>
      <w:u w:val="single"/>
    </w:rPr>
  </w:style>
  <w:style w:type="paragraph" w:styleId="1026">
    <w:name w:val="footnote text"/>
    <w:basedOn w:val="1043"/>
    <w:link w:val="1027"/>
    <w:uiPriority w:val="99"/>
    <w:semiHidden/>
    <w:unhideWhenUsed/>
    <w:pPr>
      <w:spacing w:after="40" w:line="240" w:lineRule="auto"/>
    </w:pPr>
    <w:rPr>
      <w:sz w:val="18"/>
    </w:rPr>
  </w:style>
  <w:style w:type="character" w:styleId="1027">
    <w:name w:val="Footnote Text Char"/>
    <w:link w:val="1026"/>
    <w:uiPriority w:val="99"/>
    <w:rPr>
      <w:sz w:val="18"/>
    </w:rPr>
  </w:style>
  <w:style w:type="character" w:styleId="1028">
    <w:name w:val="footnote reference"/>
    <w:uiPriority w:val="99"/>
    <w:unhideWhenUsed/>
    <w:rPr>
      <w:vertAlign w:val="superscript"/>
    </w:rPr>
  </w:style>
  <w:style w:type="paragraph" w:styleId="1029">
    <w:name w:val="endnote text"/>
    <w:basedOn w:val="1043"/>
    <w:link w:val="1030"/>
    <w:uiPriority w:val="99"/>
    <w:semiHidden/>
    <w:unhideWhenUsed/>
    <w:pPr>
      <w:spacing w:after="0" w:line="240" w:lineRule="auto"/>
    </w:pPr>
    <w:rPr>
      <w:sz w:val="20"/>
    </w:rPr>
  </w:style>
  <w:style w:type="character" w:styleId="1030">
    <w:name w:val="Endnote Text Char"/>
    <w:link w:val="1029"/>
    <w:uiPriority w:val="99"/>
    <w:rPr>
      <w:sz w:val="20"/>
    </w:rPr>
  </w:style>
  <w:style w:type="character" w:styleId="1031">
    <w:name w:val="endnote reference"/>
    <w:uiPriority w:val="99"/>
    <w:semiHidden/>
    <w:unhideWhenUsed/>
    <w:rPr>
      <w:vertAlign w:val="superscript"/>
    </w:rPr>
  </w:style>
  <w:style w:type="paragraph" w:styleId="1032">
    <w:name w:val="toc 1"/>
    <w:basedOn w:val="1043"/>
    <w:next w:val="1043"/>
    <w:uiPriority w:val="39"/>
    <w:unhideWhenUsed/>
    <w:pPr>
      <w:ind w:left="0" w:right="0" w:firstLine="0"/>
      <w:spacing w:after="57"/>
    </w:pPr>
  </w:style>
  <w:style w:type="paragraph" w:styleId="1033">
    <w:name w:val="toc 2"/>
    <w:basedOn w:val="1043"/>
    <w:next w:val="1043"/>
    <w:uiPriority w:val="39"/>
    <w:unhideWhenUsed/>
    <w:pPr>
      <w:ind w:left="283" w:right="0" w:firstLine="0"/>
      <w:spacing w:after="57"/>
    </w:pPr>
  </w:style>
  <w:style w:type="paragraph" w:styleId="1034">
    <w:name w:val="toc 3"/>
    <w:basedOn w:val="1043"/>
    <w:next w:val="1043"/>
    <w:uiPriority w:val="39"/>
    <w:unhideWhenUsed/>
    <w:pPr>
      <w:ind w:left="567" w:right="0" w:firstLine="0"/>
      <w:spacing w:after="57"/>
    </w:pPr>
  </w:style>
  <w:style w:type="paragraph" w:styleId="1035">
    <w:name w:val="toc 4"/>
    <w:basedOn w:val="1043"/>
    <w:next w:val="1043"/>
    <w:uiPriority w:val="39"/>
    <w:unhideWhenUsed/>
    <w:pPr>
      <w:ind w:left="850" w:right="0" w:firstLine="0"/>
      <w:spacing w:after="57"/>
    </w:pPr>
  </w:style>
  <w:style w:type="paragraph" w:styleId="1036">
    <w:name w:val="toc 5"/>
    <w:basedOn w:val="1043"/>
    <w:next w:val="1043"/>
    <w:uiPriority w:val="39"/>
    <w:unhideWhenUsed/>
    <w:pPr>
      <w:ind w:left="1134" w:right="0" w:firstLine="0"/>
      <w:spacing w:after="57"/>
    </w:pPr>
  </w:style>
  <w:style w:type="paragraph" w:styleId="1037">
    <w:name w:val="toc 6"/>
    <w:basedOn w:val="1043"/>
    <w:next w:val="1043"/>
    <w:uiPriority w:val="39"/>
    <w:unhideWhenUsed/>
    <w:pPr>
      <w:ind w:left="1417" w:right="0" w:firstLine="0"/>
      <w:spacing w:after="57"/>
    </w:pPr>
  </w:style>
  <w:style w:type="paragraph" w:styleId="1038">
    <w:name w:val="toc 7"/>
    <w:basedOn w:val="1043"/>
    <w:next w:val="1043"/>
    <w:uiPriority w:val="39"/>
    <w:unhideWhenUsed/>
    <w:pPr>
      <w:ind w:left="1701" w:right="0" w:firstLine="0"/>
      <w:spacing w:after="57"/>
    </w:pPr>
  </w:style>
  <w:style w:type="paragraph" w:styleId="1039">
    <w:name w:val="toc 8"/>
    <w:basedOn w:val="1043"/>
    <w:next w:val="1043"/>
    <w:uiPriority w:val="39"/>
    <w:unhideWhenUsed/>
    <w:pPr>
      <w:ind w:left="1984" w:right="0" w:firstLine="0"/>
      <w:spacing w:after="57"/>
    </w:pPr>
  </w:style>
  <w:style w:type="paragraph" w:styleId="1040">
    <w:name w:val="toc 9"/>
    <w:basedOn w:val="1043"/>
    <w:next w:val="1043"/>
    <w:uiPriority w:val="39"/>
    <w:unhideWhenUsed/>
    <w:pPr>
      <w:ind w:left="2268" w:right="0" w:firstLine="0"/>
      <w:spacing w:after="57"/>
    </w:pPr>
  </w:style>
  <w:style w:type="paragraph" w:styleId="1041">
    <w:name w:val="TOC Heading"/>
    <w:uiPriority w:val="39"/>
    <w:unhideWhenUsed/>
  </w:style>
  <w:style w:type="paragraph" w:styleId="1042">
    <w:name w:val="table of figures"/>
    <w:basedOn w:val="1043"/>
    <w:next w:val="1043"/>
    <w:uiPriority w:val="99"/>
    <w:unhideWhenUsed/>
    <w:pPr>
      <w:spacing w:after="0" w:afterAutospacing="0"/>
    </w:pPr>
  </w:style>
  <w:style w:type="paragraph" w:styleId="1043" w:default="1">
    <w:name w:val="Normal"/>
    <w:next w:val="1043"/>
    <w:link w:val="1043"/>
    <w:qFormat/>
    <w:rPr>
      <w:sz w:val="24"/>
      <w:szCs w:val="24"/>
      <w:lang w:val="ru-RU" w:eastAsia="ru-RU" w:bidi="ar-SA"/>
    </w:rPr>
  </w:style>
  <w:style w:type="paragraph" w:styleId="1044">
    <w:name w:val="Заголовок 1,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1043"/>
    <w:next w:val="1043"/>
    <w:link w:val="1070"/>
    <w:qFormat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/>
      <w:b/>
      <w:sz w:val="40"/>
      <w:lang w:val="en-US" w:eastAsia="en-US"/>
    </w:rPr>
  </w:style>
  <w:style w:type="paragraph" w:styleId="1045">
    <w:name w:val="Заголовок 2,Заголовок 2 Знак,H2,H2 Знак,Заголовок 21,2,h2,Б2,RTC,iz2,Заголовок 2 Знак1,Numbered text 3,HD2,heading 2,Heading 2 Hidden,Раздел Знак,Заголовок 2 Знак Знак,Level 2 Topic Heading,H21,Major,CHS,H2-Heading 2,l2,Header2,22,heading2,list2,A,A.B.C."/>
    <w:basedOn w:val="1043"/>
    <w:next w:val="1043"/>
    <w:link w:val="1043"/>
    <w:qFormat/>
    <w:pPr>
      <w:jc w:val="both"/>
      <w:keepNext/>
      <w:outlineLvl w:val="1"/>
    </w:pPr>
    <w:rPr>
      <w:sz w:val="24"/>
    </w:rPr>
  </w:style>
  <w:style w:type="paragraph" w:styleId="1046">
    <w:name w:val="Заголовок 5"/>
    <w:basedOn w:val="1043"/>
    <w:next w:val="1043"/>
    <w:link w:val="1043"/>
    <w:qFormat/>
    <w:pPr>
      <w:keepNext/>
      <w:outlineLvl w:val="4"/>
    </w:pPr>
    <w:rPr>
      <w:rFonts w:ascii="Times New Roman" w:hAnsi="Times New Roman"/>
      <w:b/>
      <w:bCs/>
      <w:sz w:val="24"/>
    </w:rPr>
  </w:style>
  <w:style w:type="paragraph" w:styleId="1047">
    <w:name w:val="Заголовок 9"/>
    <w:basedOn w:val="1043"/>
    <w:next w:val="1043"/>
    <w:link w:val="1043"/>
    <w:qFormat/>
    <w:pPr>
      <w:jc w:val="center"/>
      <w:keepNext/>
      <w:outlineLvl w:val="8"/>
    </w:pPr>
    <w:rPr>
      <w:rFonts w:ascii="Times New Roman" w:hAnsi="Times New Roman"/>
      <w:sz w:val="24"/>
    </w:rPr>
  </w:style>
  <w:style w:type="character" w:styleId="1048">
    <w:name w:val="Основной шрифт абзаца"/>
    <w:next w:val="1048"/>
    <w:link w:val="1043"/>
    <w:semiHidden/>
  </w:style>
  <w:style w:type="table" w:styleId="1049">
    <w:name w:val="Обычная таблица"/>
    <w:next w:val="1049"/>
    <w:link w:val="1043"/>
    <w:semiHidden/>
    <w:tblPr/>
  </w:style>
  <w:style w:type="numbering" w:styleId="1050">
    <w:name w:val="Нет списка"/>
    <w:next w:val="1050"/>
    <w:link w:val="1043"/>
    <w:semiHidden/>
  </w:style>
  <w:style w:type="character" w:styleId="1051">
    <w:name w:val="Гиперссылка"/>
    <w:next w:val="1051"/>
    <w:link w:val="1043"/>
    <w:rPr>
      <w:color w:val="0000ff"/>
      <w:u w:val="single"/>
    </w:rPr>
  </w:style>
  <w:style w:type="paragraph" w:styleId="1052">
    <w:name w:val="Верхний колонтитул"/>
    <w:basedOn w:val="1043"/>
    <w:next w:val="1052"/>
    <w:link w:val="1063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paragraph" w:styleId="1053">
    <w:name w:val="Нижний колонтитул"/>
    <w:basedOn w:val="1043"/>
    <w:next w:val="1053"/>
    <w:link w:val="1060"/>
    <w:uiPriority w:val="99"/>
    <w:pPr>
      <w:tabs>
        <w:tab w:val="center" w:pos="4677" w:leader="none"/>
        <w:tab w:val="right" w:pos="9355" w:leader="none"/>
      </w:tabs>
    </w:pPr>
  </w:style>
  <w:style w:type="paragraph" w:styleId="1054">
    <w:name w:val="Текст выноски"/>
    <w:basedOn w:val="1043"/>
    <w:next w:val="1054"/>
    <w:link w:val="1067"/>
    <w:semiHidden/>
    <w:rPr>
      <w:rFonts w:ascii="Tahoma" w:hAnsi="Tahoma"/>
      <w:sz w:val="16"/>
      <w:szCs w:val="16"/>
      <w:lang w:val="en-US" w:eastAsia="en-US"/>
    </w:rPr>
  </w:style>
  <w:style w:type="paragraph" w:styleId="1055">
    <w:name w:val="Основной текст,Основной текст таблиц,в таблице,таблицы,в таблицах, в таблице, в таблицах"/>
    <w:basedOn w:val="1043"/>
    <w:next w:val="1055"/>
    <w:link w:val="1081"/>
    <w:pPr>
      <w:ind w:right="4961"/>
      <w:tabs>
        <w:tab w:val="left" w:pos="4536" w:leader="none"/>
      </w:tabs>
    </w:pPr>
    <w:rPr>
      <w:sz w:val="24"/>
    </w:rPr>
  </w:style>
  <w:style w:type="paragraph" w:styleId="1056">
    <w:name w:val="Normal1"/>
    <w:next w:val="1056"/>
    <w:link w:val="1043"/>
    <w:pPr>
      <w:spacing w:before="100" w:after="100"/>
    </w:pPr>
    <w:rPr>
      <w:sz w:val="24"/>
      <w:lang w:val="ru-RU" w:eastAsia="ru-RU" w:bidi="ar-SA"/>
    </w:rPr>
  </w:style>
  <w:style w:type="paragraph" w:styleId="1057">
    <w:name w:val="Нумерованный список"/>
    <w:basedOn w:val="1043"/>
    <w:next w:val="1057"/>
    <w:link w:val="1043"/>
    <w:pPr>
      <w:jc w:val="both"/>
      <w:spacing w:before="60" w:line="360" w:lineRule="auto"/>
    </w:pPr>
    <w:rPr>
      <w:rFonts w:ascii="Times New Roman" w:hAnsi="Times New Roman"/>
      <w:sz w:val="28"/>
      <w:szCs w:val="24"/>
    </w:rPr>
  </w:style>
  <w:style w:type="paragraph" w:styleId="1058">
    <w:name w:val="Пункт"/>
    <w:basedOn w:val="1043"/>
    <w:next w:val="1058"/>
    <w:link w:val="1059"/>
    <w:pPr>
      <w:ind w:left="1134" w:hanging="1134"/>
      <w:jc w:val="both"/>
      <w:spacing w:line="360" w:lineRule="auto"/>
      <w:tabs>
        <w:tab w:val="num" w:pos="1134" w:leader="none"/>
      </w:tabs>
    </w:pPr>
    <w:rPr>
      <w:rFonts w:ascii="Times New Roman" w:hAnsi="Times New Roman"/>
      <w:sz w:val="28"/>
    </w:rPr>
  </w:style>
  <w:style w:type="character" w:styleId="1059">
    <w:name w:val="Пункт Знак1"/>
    <w:next w:val="1059"/>
    <w:link w:val="1058"/>
    <w:rPr>
      <w:sz w:val="28"/>
      <w:lang w:val="ru-RU" w:eastAsia="ru-RU" w:bidi="ar-SA"/>
    </w:rPr>
  </w:style>
  <w:style w:type="character" w:styleId="1060">
    <w:name w:val="Нижний колонтитул Знак"/>
    <w:next w:val="1060"/>
    <w:link w:val="1053"/>
    <w:uiPriority w:val="99"/>
    <w:rPr>
      <w:rFonts w:ascii="Times New Roman CYR" w:hAnsi="Times New Roman CYR"/>
      <w:lang w:val="ru-RU" w:eastAsia="ru-RU" w:bidi="ar-SA"/>
    </w:rPr>
  </w:style>
  <w:style w:type="paragraph" w:styleId="1061">
    <w:name w:val="Стиль Основной текст с отступом + 12 пт По ширине Слева:  0 см П..."/>
    <w:basedOn w:val="1062"/>
    <w:next w:val="1061"/>
    <w:link w:val="1043"/>
    <w:pPr>
      <w:ind w:left="0" w:firstLine="567"/>
      <w:jc w:val="both"/>
      <w:spacing w:after="0"/>
    </w:pPr>
    <w:rPr>
      <w:rFonts w:ascii="Times New Roman" w:hAnsi="Times New Roman"/>
      <w:sz w:val="24"/>
    </w:rPr>
  </w:style>
  <w:style w:type="paragraph" w:styleId="1062">
    <w:name w:val="Основной текст с отступом"/>
    <w:basedOn w:val="1043"/>
    <w:next w:val="1062"/>
    <w:link w:val="1074"/>
    <w:pPr>
      <w:ind w:left="283"/>
      <w:spacing w:after="120"/>
    </w:pPr>
    <w:rPr>
      <w:lang w:val="en-US" w:eastAsia="en-US"/>
    </w:rPr>
  </w:style>
  <w:style w:type="character" w:styleId="1063">
    <w:name w:val="Верхний колонтитул Знак"/>
    <w:next w:val="1063"/>
    <w:link w:val="1052"/>
    <w:uiPriority w:val="99"/>
    <w:rPr>
      <w:rFonts w:ascii="Times New Roman CYR" w:hAnsi="Times New Roman CYR"/>
    </w:rPr>
  </w:style>
  <w:style w:type="character" w:styleId="1064">
    <w:name w:val="комментарий"/>
    <w:next w:val="1064"/>
    <w:link w:val="1043"/>
    <w:rPr>
      <w:b/>
      <w:i/>
      <w:shd w:val="clear" w:color="auto" w:fill="ffff99"/>
    </w:rPr>
  </w:style>
  <w:style w:type="paragraph" w:styleId="1065">
    <w:name w:val="Название"/>
    <w:basedOn w:val="1043"/>
    <w:next w:val="1065"/>
    <w:link w:val="1066"/>
    <w:qFormat/>
    <w:pPr>
      <w:jc w:val="center"/>
    </w:pPr>
    <w:rPr>
      <w:rFonts w:ascii="Times New Roman" w:hAnsi="Times New Roman"/>
      <w:b/>
      <w:sz w:val="22"/>
      <w:lang w:val="en-US" w:eastAsia="en-US"/>
    </w:rPr>
  </w:style>
  <w:style w:type="character" w:styleId="1066">
    <w:name w:val="Название Знак"/>
    <w:next w:val="1066"/>
    <w:link w:val="1065"/>
    <w:rPr>
      <w:b/>
      <w:sz w:val="22"/>
    </w:rPr>
  </w:style>
  <w:style w:type="character" w:styleId="1067">
    <w:name w:val="Текст выноски Знак"/>
    <w:next w:val="1067"/>
    <w:link w:val="1054"/>
    <w:semiHidden/>
    <w:rPr>
      <w:rFonts w:ascii="Tahoma" w:hAnsi="Tahoma" w:cs="Tahoma"/>
      <w:sz w:val="16"/>
      <w:szCs w:val="16"/>
    </w:rPr>
  </w:style>
  <w:style w:type="paragraph" w:styleId="1068">
    <w:name w:val="Обычный2"/>
    <w:next w:val="1068"/>
    <w:link w:val="1043"/>
    <w:pPr>
      <w:spacing w:before="100" w:after="100"/>
    </w:pPr>
    <w:rPr>
      <w:sz w:val="24"/>
      <w:lang w:val="ru-RU" w:eastAsia="ru-RU" w:bidi="ar-SA"/>
    </w:rPr>
  </w:style>
  <w:style w:type="character" w:styleId="1069">
    <w:name w:val="Строгий"/>
    <w:next w:val="1069"/>
    <w:link w:val="1043"/>
    <w:uiPriority w:val="22"/>
    <w:qFormat/>
    <w:rPr>
      <w:b/>
      <w:bCs/>
    </w:rPr>
  </w:style>
  <w:style w:type="character" w:styleId="1070">
    <w:name w:val="Заголовок 1 Знак"/>
    <w:next w:val="1070"/>
    <w:link w:val="1044"/>
    <w:rPr>
      <w:rFonts w:ascii="Arial" w:hAnsi="Arial"/>
      <w:b/>
      <w:sz w:val="40"/>
    </w:rPr>
  </w:style>
  <w:style w:type="paragraph" w:styleId="1071">
    <w:name w:val="Подпункт"/>
    <w:basedOn w:val="1058"/>
    <w:next w:val="1071"/>
    <w:link w:val="1084"/>
    <w:pPr>
      <w:ind w:left="1276"/>
      <w:tabs>
        <w:tab w:val="clear" w:pos="1134" w:leader="none"/>
        <w:tab w:val="num" w:pos="1276" w:leader="none"/>
      </w:tabs>
    </w:pPr>
    <w:rPr>
      <w:lang w:val="en-US" w:eastAsia="en-US"/>
    </w:rPr>
  </w:style>
  <w:style w:type="paragraph" w:styleId="1072">
    <w:name w:val="Подподпункт"/>
    <w:basedOn w:val="1071"/>
    <w:next w:val="1072"/>
    <w:link w:val="1073"/>
    <w:pPr>
      <w:ind w:left="1702" w:hanging="567"/>
      <w:tabs>
        <w:tab w:val="clear" w:pos="1276" w:leader="none"/>
        <w:tab w:val="num" w:pos="1702" w:leader="none"/>
      </w:tabs>
    </w:pPr>
  </w:style>
  <w:style w:type="character" w:styleId="1073">
    <w:name w:val="Подподпункт Знак"/>
    <w:next w:val="1073"/>
    <w:link w:val="1072"/>
    <w:rPr>
      <w:sz w:val="28"/>
      <w:lang w:val="en-US" w:eastAsia="en-US"/>
    </w:rPr>
  </w:style>
  <w:style w:type="character" w:styleId="1074">
    <w:name w:val="Основной текст с отступом Знак"/>
    <w:next w:val="1074"/>
    <w:link w:val="1062"/>
    <w:rPr>
      <w:rFonts w:ascii="Times New Roman CYR" w:hAnsi="Times New Roman CYR"/>
    </w:rPr>
  </w:style>
  <w:style w:type="paragraph" w:styleId="1075">
    <w:name w:val="Абзац списка"/>
    <w:basedOn w:val="1043"/>
    <w:next w:val="1075"/>
    <w:link w:val="1043"/>
    <w:uiPriority w:val="34"/>
    <w:qFormat/>
    <w:pPr>
      <w:contextualSpacing/>
      <w:ind w:left="720"/>
    </w:pPr>
  </w:style>
  <w:style w:type="table" w:styleId="1076">
    <w:name w:val="Сетка таблицы"/>
    <w:basedOn w:val="1049"/>
    <w:next w:val="1076"/>
    <w:link w:val="1043"/>
    <w:uiPriority w:val="59"/>
    <w:tblPr/>
  </w:style>
  <w:style w:type="character" w:styleId="1077">
    <w:name w:val="Основной текст_"/>
    <w:next w:val="1077"/>
    <w:link w:val="1078"/>
    <w:rPr>
      <w:sz w:val="18"/>
      <w:szCs w:val="18"/>
      <w:shd w:val="clear" w:color="auto" w:fill="ffffff"/>
    </w:rPr>
  </w:style>
  <w:style w:type="paragraph" w:styleId="1078">
    <w:name w:val="Основной текст2"/>
    <w:basedOn w:val="1043"/>
    <w:next w:val="1078"/>
    <w:link w:val="1077"/>
    <w:pPr>
      <w:ind w:firstLine="2280"/>
      <w:spacing w:after="240" w:line="235" w:lineRule="exact"/>
      <w:shd w:val="clear" w:color="auto" w:fill="ffffff"/>
      <w:widowControl w:val="off"/>
    </w:pPr>
    <w:rPr>
      <w:rFonts w:ascii="Times New Roman" w:hAnsi="Times New Roman"/>
      <w:sz w:val="18"/>
      <w:szCs w:val="18"/>
    </w:rPr>
  </w:style>
  <w:style w:type="paragraph" w:styleId="1079">
    <w:name w:val="Основной текст с отступом 2"/>
    <w:basedOn w:val="1043"/>
    <w:next w:val="1079"/>
    <w:link w:val="1080"/>
    <w:pPr>
      <w:ind w:left="283"/>
      <w:spacing w:after="120" w:line="480" w:lineRule="auto"/>
    </w:pPr>
  </w:style>
  <w:style w:type="character" w:styleId="1080">
    <w:name w:val="Основной текст с отступом 2 Знак"/>
    <w:next w:val="1080"/>
    <w:link w:val="1079"/>
    <w:rPr>
      <w:rFonts w:ascii="Times New Roman CYR" w:hAnsi="Times New Roman CYR"/>
    </w:rPr>
  </w:style>
  <w:style w:type="character" w:styleId="1081">
    <w:name w:val="Основной текст Знак,Основной текст таблиц Знак,в таблице Знак,таблицы Знак,в таблицах Знак, в таблице Знак, в таблицах Знак"/>
    <w:next w:val="1081"/>
    <w:link w:val="1055"/>
    <w:rPr>
      <w:rFonts w:ascii="Times New Roman CYR" w:hAnsi="Times New Roman CYR"/>
      <w:sz w:val="24"/>
    </w:rPr>
  </w:style>
  <w:style w:type="character" w:styleId="1082">
    <w:name w:val="Просмотренная гиперссылка"/>
    <w:next w:val="1082"/>
    <w:link w:val="1043"/>
    <w:rPr>
      <w:color w:val="800080"/>
      <w:u w:val="single"/>
    </w:rPr>
  </w:style>
  <w:style w:type="paragraph" w:styleId="1083">
    <w:name w:val="Оглавление 3"/>
    <w:basedOn w:val="1043"/>
    <w:next w:val="1043"/>
    <w:link w:val="1043"/>
    <w:uiPriority w:val="99"/>
    <w:pPr>
      <w:ind w:left="1979" w:right="1134" w:hanging="902"/>
      <w:spacing w:after="120"/>
      <w:tabs>
        <w:tab w:val="left" w:pos="1980" w:leader="none"/>
        <w:tab w:val="right" w:pos="10195" w:leader="dot"/>
      </w:tabs>
    </w:pPr>
  </w:style>
  <w:style w:type="character" w:styleId="1084">
    <w:name w:val="Подпункт Знак1"/>
    <w:next w:val="1084"/>
    <w:link w:val="1071"/>
    <w:rPr>
      <w:sz w:val="28"/>
      <w:szCs w:val="24"/>
      <w:lang w:val="en-US" w:eastAsia="en-US"/>
    </w:rPr>
  </w:style>
  <w:style w:type="paragraph" w:styleId="1085">
    <w:name w:val="Служебный"/>
    <w:basedOn w:val="1043"/>
    <w:next w:val="1085"/>
    <w:link w:val="1043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1086">
    <w:name w:val="Нумерованный список 4"/>
    <w:basedOn w:val="1043"/>
    <w:next w:val="1086"/>
    <w:link w:val="1043"/>
    <w:pPr>
      <w:numPr>
        <w:ilvl w:val="0"/>
        <w:numId w:val="11"/>
      </w:numPr>
      <w:contextualSpacing/>
    </w:pPr>
  </w:style>
  <w:style w:type="character" w:styleId="1087" w:default="1">
    <w:name w:val="Default Paragraph Font"/>
    <w:uiPriority w:val="1"/>
    <w:semiHidden/>
    <w:unhideWhenUsed/>
  </w:style>
  <w:style w:type="numbering" w:styleId="1088" w:default="1">
    <w:name w:val="No List"/>
    <w:uiPriority w:val="99"/>
    <w:semiHidden/>
    <w:unhideWhenUsed/>
  </w:style>
  <w:style w:type="table" w:styleId="1089" w:default="1">
    <w:name w:val="Normal Table"/>
    <w:uiPriority w:val="99"/>
    <w:semiHidden/>
    <w:unhideWhenUsed/>
    <w:tblPr/>
  </w:style>
  <w:style w:type="paragraph" w:styleId="1090" w:customStyle="1">
    <w:name w:val="Defaul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Home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№ОК-11/5Б-2</dc:title>
  <dc:creator>Korotkina.OF</dc:creator>
  <cp:lastModifiedBy>kukanieva.lv</cp:lastModifiedBy>
  <cp:revision>2249</cp:revision>
  <dcterms:created xsi:type="dcterms:W3CDTF">2011-12-09T11:27:00Z</dcterms:created>
  <dcterms:modified xsi:type="dcterms:W3CDTF">2026-05-21T11:53:12Z</dcterms:modified>
  <cp:version>1048576</cp:version>
</cp:coreProperties>
</file>